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ajorHAnsi" w:eastAsiaTheme="majorEastAsia" w:hAnsiTheme="majorHAnsi" w:cstheme="majorBidi"/>
          <w:sz w:val="24"/>
          <w:szCs w:val="24"/>
        </w:rPr>
        <w:id w:val="3338562"/>
        <w:docPartObj>
          <w:docPartGallery w:val="Cover Pages"/>
          <w:docPartUnique/>
        </w:docPartObj>
      </w:sdtPr>
      <w:sdtEndPr>
        <w:rPr>
          <w:rFonts w:asciiTheme="minorHAnsi" w:eastAsiaTheme="minorHAnsi" w:hAnsiTheme="minorHAnsi" w:cstheme="minorBidi"/>
          <w:sz w:val="22"/>
          <w:szCs w:val="22"/>
        </w:rPr>
      </w:sdtEndPr>
      <w:sdtContent>
        <w:p w:rsidR="001D3624" w:rsidRPr="00A3665C" w:rsidRDefault="00BB5BA2" w:rsidP="00A3665C">
          <w:pPr>
            <w:pStyle w:val="NoSpacing"/>
            <w:spacing w:line="360" w:lineRule="auto"/>
            <w:rPr>
              <w:rFonts w:asciiTheme="majorHAnsi" w:eastAsiaTheme="majorEastAsia" w:hAnsiTheme="majorHAnsi" w:cstheme="majorBidi"/>
              <w:sz w:val="24"/>
              <w:szCs w:val="24"/>
            </w:rPr>
          </w:pPr>
          <w:r>
            <w:rPr>
              <w:rFonts w:asciiTheme="majorHAnsi" w:eastAsiaTheme="majorEastAsia" w:hAnsiTheme="majorHAnsi" w:cstheme="majorBidi"/>
              <w:noProof/>
              <w:sz w:val="24"/>
              <w:szCs w:val="24"/>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bottom</wp:align>
                    </wp:positionV>
                    <wp:extent cx="8138795" cy="807085"/>
                    <wp:effectExtent l="5715" t="5715" r="8890" b="63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8795" cy="80708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2C8D277" id="Rectangle 2" o:spid="_x0000_s1026" style="position:absolute;margin-left:0;margin-top:0;width:640.85pt;height:63.55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" o:allowincell="f" fillcolor="#4bacc6 [3208]" strokecolor="#31849b [2408]">
                    <w10:wrap anchorx="page" anchory="page"/>
                  </v:rect>
                </w:pict>
              </mc:Fallback>
            </mc:AlternateContent>
          </w:r>
          <w:r>
            <w:rPr>
              <w:rFonts w:asciiTheme="majorHAnsi" w:eastAsiaTheme="majorEastAsia" w:hAnsiTheme="majorHAnsi" w:cstheme="majorBidi"/>
              <w:noProof/>
              <w:sz w:val="24"/>
              <w:szCs w:val="24"/>
            </w:rPr>
            <mc:AlternateContent>
              <mc:Choice Requires="wps">
                <w:drawing>
                  <wp:anchor distT="0" distB="0" distL="114300" distR="114300" simplePos="0" relativeHeight="251663360" behindDoc="0" locked="0" layoutInCell="0" allowOverlap="1">
                    <wp:simplePos x="0" y="0"/>
                    <wp:positionH relativeFrom="leftMargin">
                      <wp:align>center</wp:align>
                    </wp:positionH>
                    <wp:positionV relativeFrom="page">
                      <wp:align>center</wp:align>
                    </wp:positionV>
                    <wp:extent cx="90805" cy="10539095"/>
                    <wp:effectExtent l="9525" t="5715" r="13970" b="88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3909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E41B327" id="Rectangle 5" o:spid="_x0000_s1026" style="position:absolute;margin-left:0;margin-top:0;width:7.15pt;height:829.85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" o:allowincell="f" fillcolor="white [3212]" strokecolor="#31849b [2408]">
                    <w10:wrap anchorx="margin" anchory="page"/>
                  </v:rect>
                </w:pict>
              </mc:Fallback>
            </mc:AlternateContent>
          </w:r>
          <w:r>
            <w:rPr>
              <w:rFonts w:asciiTheme="majorHAnsi" w:eastAsiaTheme="majorEastAsia" w:hAnsiTheme="majorHAnsi" w:cstheme="majorBidi"/>
              <w:noProof/>
              <w:sz w:val="24"/>
              <w:szCs w:val="24"/>
            </w:rPr>
            <mc:AlternateContent>
              <mc:Choice Requires="wps">
                <w:drawing>
                  <wp:anchor distT="0" distB="0" distL="114300" distR="114300" simplePos="0" relativeHeight="251662336" behindDoc="0" locked="0" layoutInCell="0" allowOverlap="1">
                    <wp:simplePos x="0" y="0"/>
                    <wp:positionH relativeFrom="rightMargin">
                      <wp:align>center</wp:align>
                    </wp:positionH>
                    <wp:positionV relativeFrom="page">
                      <wp:align>center</wp:align>
                    </wp:positionV>
                    <wp:extent cx="90805" cy="10539095"/>
                    <wp:effectExtent l="9525" t="5715" r="13970"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3909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086E996" id="Rectangle 4" o:spid="_x0000_s1026" style="position:absolute;margin-left:0;margin-top:0;width:7.15pt;height:829.85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" o:allowincell="f" fillcolor="white [3212]" strokecolor="#31849b [2408]">
                    <w10:wrap anchorx="margin" anchory="page"/>
                  </v:rect>
                </w:pict>
              </mc:Fallback>
            </mc:AlternateContent>
          </w:r>
          <w:r>
            <w:rPr>
              <w:rFonts w:asciiTheme="majorHAnsi" w:eastAsiaTheme="majorEastAsia" w:hAnsiTheme="majorHAnsi" w:cstheme="majorBidi"/>
              <w:noProof/>
              <w:sz w:val="24"/>
              <w:szCs w:val="24"/>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topMargin">
                      <wp:align>top</wp:align>
                    </wp:positionV>
                    <wp:extent cx="8138795" cy="807085"/>
                    <wp:effectExtent l="5715" t="9525" r="8890" b="120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8795" cy="80708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630223B" id="Rectangle 3" o:spid="_x0000_s1026" style="position:absolute;margin-left:0;margin-top:0;width:640.85pt;height:63.55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" o:allowincell="f" fillcolor="#4bacc6 [3208]" strokecolor="#31849b [2408]">
                    <w10:wrap anchorx="page" anchory="margin"/>
                  </v:rect>
                </w:pict>
              </mc:Fallback>
            </mc:AlternateContent>
          </w:r>
        </w:p>
        <w:sdt>
          <w:sdtPr>
            <w:rPr>
              <w:rFonts w:asciiTheme="majorHAnsi" w:hAnsiTheme="majorHAnsi"/>
              <w:sz w:val="32"/>
              <w:szCs w:val="32"/>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rsidR="001D3624" w:rsidRPr="0060176F" w:rsidRDefault="001D3624" w:rsidP="00A3665C">
              <w:pPr>
                <w:pStyle w:val="NoSpacing"/>
                <w:spacing w:line="360" w:lineRule="auto"/>
                <w:jc w:val="center"/>
                <w:rPr>
                  <w:rFonts w:asciiTheme="majorHAnsi" w:eastAsiaTheme="majorEastAsia" w:hAnsiTheme="majorHAnsi" w:cstheme="majorBidi"/>
                  <w:sz w:val="32"/>
                  <w:szCs w:val="32"/>
                </w:rPr>
              </w:pPr>
              <w:r w:rsidRPr="0060176F">
                <w:rPr>
                  <w:rFonts w:asciiTheme="majorHAnsi" w:hAnsiTheme="majorHAnsi"/>
                  <w:sz w:val="32"/>
                  <w:szCs w:val="32"/>
                </w:rPr>
                <w:t>Fiscal Policy Analysis Spotlight on 2012/2013 National Budget Government of Liberia</w:t>
              </w:r>
            </w:p>
          </w:sdtContent>
        </w:sdt>
        <w:p w:rsidR="001D3624" w:rsidRPr="00A3665C" w:rsidRDefault="001D3624" w:rsidP="00A3665C">
          <w:pPr>
            <w:pStyle w:val="NoSpacing"/>
            <w:spacing w:line="360" w:lineRule="auto"/>
            <w:rPr>
              <w:rFonts w:asciiTheme="majorHAnsi" w:eastAsiaTheme="majorEastAsia" w:hAnsiTheme="majorHAnsi" w:cstheme="majorBidi"/>
              <w:i/>
              <w:sz w:val="24"/>
              <w:szCs w:val="24"/>
            </w:rPr>
          </w:pPr>
        </w:p>
        <w:p w:rsidR="008960FD" w:rsidRPr="00A3665C" w:rsidRDefault="008960FD" w:rsidP="00A3665C">
          <w:pPr>
            <w:pStyle w:val="NoSpacing"/>
            <w:spacing w:line="360" w:lineRule="auto"/>
            <w:rPr>
              <w:rFonts w:asciiTheme="majorHAnsi" w:eastAsiaTheme="majorEastAsia" w:hAnsiTheme="majorHAnsi" w:cstheme="majorBidi"/>
              <w:i/>
              <w:sz w:val="24"/>
              <w:szCs w:val="24"/>
            </w:rPr>
          </w:pPr>
        </w:p>
        <w:p w:rsidR="008960FD" w:rsidRPr="00A3665C" w:rsidRDefault="008960FD" w:rsidP="00A3665C">
          <w:pPr>
            <w:pStyle w:val="NoSpacing"/>
            <w:spacing w:line="360" w:lineRule="auto"/>
            <w:rPr>
              <w:rFonts w:asciiTheme="majorHAnsi" w:eastAsiaTheme="majorEastAsia" w:hAnsiTheme="majorHAnsi" w:cstheme="majorBidi"/>
              <w:i/>
              <w:sz w:val="24"/>
              <w:szCs w:val="24"/>
            </w:rPr>
          </w:pPr>
        </w:p>
        <w:p w:rsidR="008960FD" w:rsidRPr="00A3665C" w:rsidRDefault="008960FD" w:rsidP="00A3665C">
          <w:pPr>
            <w:pStyle w:val="NoSpacing"/>
            <w:spacing w:line="360" w:lineRule="auto"/>
            <w:rPr>
              <w:rFonts w:asciiTheme="majorHAnsi" w:eastAsiaTheme="majorEastAsia" w:hAnsiTheme="majorHAnsi" w:cstheme="majorBidi"/>
              <w:i/>
              <w:sz w:val="24"/>
              <w:szCs w:val="24"/>
            </w:rPr>
          </w:pPr>
        </w:p>
        <w:p w:rsidR="008960FD" w:rsidRPr="00A3665C" w:rsidRDefault="008960FD" w:rsidP="00A3665C">
          <w:pPr>
            <w:pStyle w:val="NoSpacing"/>
            <w:spacing w:line="360" w:lineRule="auto"/>
            <w:rPr>
              <w:rFonts w:asciiTheme="majorHAnsi" w:eastAsiaTheme="majorEastAsia" w:hAnsiTheme="majorHAnsi" w:cstheme="majorBidi"/>
              <w:i/>
              <w:sz w:val="24"/>
              <w:szCs w:val="24"/>
            </w:rPr>
          </w:pPr>
        </w:p>
        <w:p w:rsidR="008960FD" w:rsidRPr="00A3665C" w:rsidRDefault="008960FD" w:rsidP="00A3665C">
          <w:pPr>
            <w:pStyle w:val="NoSpacing"/>
            <w:spacing w:line="360" w:lineRule="auto"/>
            <w:rPr>
              <w:rFonts w:asciiTheme="majorHAnsi" w:eastAsiaTheme="majorEastAsia" w:hAnsiTheme="majorHAnsi" w:cstheme="majorBidi"/>
              <w:i/>
              <w:sz w:val="24"/>
              <w:szCs w:val="24"/>
            </w:rPr>
          </w:pPr>
        </w:p>
        <w:p w:rsidR="008960FD" w:rsidRPr="00A3665C" w:rsidRDefault="008960FD" w:rsidP="00A3665C">
          <w:pPr>
            <w:pStyle w:val="NoSpacing"/>
            <w:spacing w:line="360" w:lineRule="auto"/>
            <w:rPr>
              <w:rFonts w:asciiTheme="majorHAnsi" w:eastAsiaTheme="majorEastAsia" w:hAnsiTheme="majorHAnsi" w:cstheme="majorBidi"/>
              <w:i/>
              <w:sz w:val="24"/>
              <w:szCs w:val="24"/>
            </w:rPr>
          </w:pPr>
        </w:p>
        <w:p w:rsidR="008960FD" w:rsidRPr="00A3665C" w:rsidRDefault="008960FD" w:rsidP="00A3665C">
          <w:pPr>
            <w:pStyle w:val="NoSpacing"/>
            <w:spacing w:line="360" w:lineRule="auto"/>
            <w:rPr>
              <w:rFonts w:asciiTheme="majorHAnsi" w:eastAsiaTheme="majorEastAsia" w:hAnsiTheme="majorHAnsi" w:cstheme="majorBidi"/>
              <w:i/>
              <w:sz w:val="24"/>
              <w:szCs w:val="24"/>
            </w:rPr>
          </w:pPr>
        </w:p>
        <w:p w:rsidR="008960FD" w:rsidRPr="00A3665C" w:rsidRDefault="008960FD" w:rsidP="00A3665C">
          <w:pPr>
            <w:pStyle w:val="NoSpacing"/>
            <w:spacing w:line="360" w:lineRule="auto"/>
            <w:rPr>
              <w:rFonts w:asciiTheme="majorHAnsi" w:eastAsiaTheme="majorEastAsia" w:hAnsiTheme="majorHAnsi" w:cstheme="majorBidi"/>
              <w:i/>
              <w:sz w:val="24"/>
              <w:szCs w:val="24"/>
            </w:rPr>
          </w:pPr>
          <w:r w:rsidRPr="00A3665C">
            <w:rPr>
              <w:rFonts w:asciiTheme="majorHAnsi" w:eastAsiaTheme="majorEastAsia" w:hAnsiTheme="majorHAnsi" w:cstheme="majorBidi"/>
              <w:i/>
              <w:sz w:val="24"/>
              <w:szCs w:val="24"/>
            </w:rPr>
            <w:t xml:space="preserve">                        Using Various Human Rights Based Approaches Tools </w:t>
          </w:r>
        </w:p>
        <w:p w:rsidR="008960FD" w:rsidRPr="00A3665C" w:rsidRDefault="008960FD" w:rsidP="00A3665C">
          <w:pPr>
            <w:pStyle w:val="NoSpacing"/>
            <w:spacing w:line="360" w:lineRule="auto"/>
            <w:rPr>
              <w:rFonts w:asciiTheme="majorHAnsi" w:eastAsiaTheme="majorEastAsia" w:hAnsiTheme="majorHAnsi" w:cstheme="majorBidi"/>
              <w:i/>
              <w:sz w:val="24"/>
              <w:szCs w:val="24"/>
            </w:rPr>
          </w:pPr>
        </w:p>
        <w:p w:rsidR="008960FD" w:rsidRPr="00A3665C" w:rsidRDefault="008960FD" w:rsidP="00A3665C">
          <w:pPr>
            <w:pStyle w:val="NoSpacing"/>
            <w:spacing w:line="360" w:lineRule="auto"/>
            <w:rPr>
              <w:rFonts w:asciiTheme="majorHAnsi" w:eastAsiaTheme="majorEastAsia" w:hAnsiTheme="majorHAnsi" w:cstheme="majorBidi"/>
              <w:i/>
              <w:sz w:val="24"/>
              <w:szCs w:val="24"/>
            </w:rPr>
          </w:pPr>
        </w:p>
        <w:p w:rsidR="008960FD" w:rsidRPr="00A3665C" w:rsidRDefault="008960FD" w:rsidP="00A3665C">
          <w:pPr>
            <w:pStyle w:val="NoSpacing"/>
            <w:spacing w:line="360" w:lineRule="auto"/>
            <w:rPr>
              <w:rFonts w:asciiTheme="majorHAnsi" w:eastAsiaTheme="majorEastAsia" w:hAnsiTheme="majorHAnsi" w:cstheme="majorBidi"/>
              <w:i/>
              <w:sz w:val="24"/>
              <w:szCs w:val="24"/>
            </w:rPr>
          </w:pPr>
        </w:p>
        <w:p w:rsidR="008960FD" w:rsidRPr="00A3665C" w:rsidRDefault="008960FD" w:rsidP="00A3665C">
          <w:pPr>
            <w:pStyle w:val="NoSpacing"/>
            <w:spacing w:line="360" w:lineRule="auto"/>
            <w:rPr>
              <w:rFonts w:asciiTheme="majorHAnsi" w:eastAsiaTheme="majorEastAsia" w:hAnsiTheme="majorHAnsi" w:cstheme="majorBidi"/>
              <w:i/>
              <w:sz w:val="24"/>
              <w:szCs w:val="24"/>
            </w:rPr>
          </w:pPr>
        </w:p>
        <w:p w:rsidR="008960FD" w:rsidRPr="00A3665C" w:rsidRDefault="008960FD" w:rsidP="00A3665C">
          <w:pPr>
            <w:pStyle w:val="NoSpacing"/>
            <w:spacing w:line="360" w:lineRule="auto"/>
            <w:rPr>
              <w:rFonts w:asciiTheme="majorHAnsi" w:eastAsiaTheme="majorEastAsia" w:hAnsiTheme="majorHAnsi" w:cstheme="majorBidi"/>
              <w:i/>
              <w:sz w:val="24"/>
              <w:szCs w:val="24"/>
            </w:rPr>
          </w:pPr>
        </w:p>
        <w:p w:rsidR="008960FD" w:rsidRPr="00A3665C" w:rsidRDefault="008960FD" w:rsidP="00A3665C">
          <w:pPr>
            <w:pStyle w:val="NoSpacing"/>
            <w:spacing w:line="360" w:lineRule="auto"/>
            <w:jc w:val="center"/>
            <w:rPr>
              <w:rFonts w:asciiTheme="majorHAnsi" w:hAnsiTheme="majorHAnsi"/>
              <w:sz w:val="24"/>
              <w:szCs w:val="24"/>
            </w:rPr>
          </w:pPr>
          <w:r w:rsidRPr="00A3665C">
            <w:rPr>
              <w:rFonts w:asciiTheme="majorHAnsi" w:hAnsiTheme="majorHAnsi"/>
              <w:sz w:val="24"/>
              <w:szCs w:val="24"/>
            </w:rPr>
            <w:t xml:space="preserve">Prepared By </w:t>
          </w:r>
        </w:p>
        <w:p w:rsidR="008960FD" w:rsidRPr="00A3665C" w:rsidRDefault="008960FD" w:rsidP="00A3665C">
          <w:pPr>
            <w:pStyle w:val="NoSpacing"/>
            <w:spacing w:line="360" w:lineRule="auto"/>
            <w:jc w:val="center"/>
            <w:rPr>
              <w:rFonts w:asciiTheme="majorHAnsi" w:hAnsiTheme="majorHAnsi"/>
              <w:sz w:val="24"/>
              <w:szCs w:val="24"/>
            </w:rPr>
          </w:pPr>
          <w:r w:rsidRPr="00A3665C">
            <w:rPr>
              <w:rFonts w:asciiTheme="majorHAnsi" w:hAnsiTheme="majorHAnsi"/>
              <w:sz w:val="24"/>
              <w:szCs w:val="24"/>
            </w:rPr>
            <w:t>Mr. Prince D. Kreplah</w:t>
          </w:r>
        </w:p>
        <w:p w:rsidR="008960FD" w:rsidRPr="00A3665C" w:rsidRDefault="008960FD" w:rsidP="00A3665C">
          <w:pPr>
            <w:pStyle w:val="NoSpacing"/>
            <w:spacing w:line="360" w:lineRule="auto"/>
            <w:jc w:val="center"/>
            <w:rPr>
              <w:rFonts w:asciiTheme="majorHAnsi" w:hAnsiTheme="majorHAnsi"/>
              <w:sz w:val="24"/>
              <w:szCs w:val="24"/>
            </w:rPr>
          </w:pPr>
          <w:r w:rsidRPr="00A3665C">
            <w:rPr>
              <w:rFonts w:asciiTheme="majorHAnsi" w:hAnsiTheme="majorHAnsi"/>
              <w:sz w:val="24"/>
              <w:szCs w:val="24"/>
            </w:rPr>
            <w:t xml:space="preserve">National Executive Director </w:t>
          </w:r>
        </w:p>
        <w:p w:rsidR="008960FD" w:rsidRPr="00A3665C" w:rsidRDefault="008960FD" w:rsidP="00A3665C">
          <w:pPr>
            <w:pStyle w:val="NoSpacing"/>
            <w:spacing w:line="360" w:lineRule="auto"/>
            <w:jc w:val="center"/>
            <w:rPr>
              <w:rFonts w:asciiTheme="majorHAnsi" w:hAnsiTheme="majorHAnsi"/>
              <w:sz w:val="24"/>
              <w:szCs w:val="24"/>
            </w:rPr>
          </w:pPr>
          <w:r w:rsidRPr="00A3665C">
            <w:rPr>
              <w:rFonts w:asciiTheme="majorHAnsi" w:hAnsiTheme="majorHAnsi"/>
              <w:sz w:val="24"/>
              <w:szCs w:val="24"/>
            </w:rPr>
            <w:t>Citizens united to Promote Peace &amp; Democracy in Liberia (CUPPADL)</w:t>
          </w:r>
        </w:p>
        <w:p w:rsidR="008960FD" w:rsidRPr="00A3665C" w:rsidRDefault="008960FD" w:rsidP="00A3665C">
          <w:pPr>
            <w:pStyle w:val="NoSpacing"/>
            <w:spacing w:line="360" w:lineRule="auto"/>
            <w:jc w:val="center"/>
            <w:rPr>
              <w:rFonts w:asciiTheme="majorHAnsi" w:hAnsiTheme="majorHAnsi"/>
              <w:sz w:val="24"/>
              <w:szCs w:val="24"/>
            </w:rPr>
          </w:pPr>
        </w:p>
        <w:p w:rsidR="008960FD" w:rsidRPr="00A3665C" w:rsidRDefault="008960FD" w:rsidP="00A3665C">
          <w:pPr>
            <w:pStyle w:val="NoSpacing"/>
            <w:spacing w:line="360" w:lineRule="auto"/>
            <w:jc w:val="center"/>
            <w:rPr>
              <w:rFonts w:asciiTheme="majorHAnsi" w:hAnsiTheme="majorHAnsi"/>
              <w:sz w:val="24"/>
              <w:szCs w:val="24"/>
            </w:rPr>
          </w:pPr>
        </w:p>
        <w:p w:rsidR="008960FD" w:rsidRPr="00A3665C" w:rsidRDefault="008960FD" w:rsidP="00A3665C">
          <w:pPr>
            <w:pStyle w:val="NoSpacing"/>
            <w:spacing w:line="360" w:lineRule="auto"/>
            <w:jc w:val="center"/>
            <w:rPr>
              <w:rFonts w:asciiTheme="majorHAnsi" w:hAnsiTheme="majorHAnsi"/>
              <w:sz w:val="24"/>
              <w:szCs w:val="24"/>
            </w:rPr>
          </w:pPr>
        </w:p>
        <w:p w:rsidR="008960FD" w:rsidRPr="00A3665C" w:rsidRDefault="008960FD" w:rsidP="008B3D28">
          <w:pPr>
            <w:pStyle w:val="NoSpacing"/>
            <w:spacing w:line="360" w:lineRule="auto"/>
            <w:rPr>
              <w:rFonts w:asciiTheme="majorHAnsi" w:hAnsiTheme="majorHAnsi"/>
              <w:sz w:val="24"/>
              <w:szCs w:val="24"/>
            </w:rPr>
          </w:pPr>
        </w:p>
        <w:p w:rsidR="008960FD" w:rsidRPr="00A3665C" w:rsidRDefault="008960FD" w:rsidP="00A3665C">
          <w:pPr>
            <w:pStyle w:val="NoSpacing"/>
            <w:spacing w:line="360" w:lineRule="auto"/>
            <w:jc w:val="center"/>
            <w:rPr>
              <w:rFonts w:asciiTheme="majorHAnsi" w:hAnsiTheme="majorHAnsi"/>
              <w:sz w:val="24"/>
              <w:szCs w:val="24"/>
            </w:rPr>
          </w:pPr>
        </w:p>
        <w:p w:rsidR="008960FD" w:rsidRPr="00A3665C" w:rsidRDefault="008960FD" w:rsidP="00A3665C">
          <w:pPr>
            <w:pStyle w:val="NoSpacing"/>
            <w:spacing w:line="360" w:lineRule="auto"/>
            <w:jc w:val="center"/>
            <w:rPr>
              <w:rFonts w:asciiTheme="majorHAnsi" w:hAnsiTheme="majorHAnsi"/>
              <w:sz w:val="24"/>
              <w:szCs w:val="24"/>
            </w:rPr>
          </w:pPr>
        </w:p>
        <w:p w:rsidR="008960FD" w:rsidRPr="00A3665C" w:rsidRDefault="008960FD" w:rsidP="00A3665C">
          <w:pPr>
            <w:pStyle w:val="NoSpacing"/>
            <w:spacing w:line="360" w:lineRule="auto"/>
            <w:jc w:val="center"/>
            <w:rPr>
              <w:rFonts w:asciiTheme="majorHAnsi" w:hAnsiTheme="majorHAnsi"/>
              <w:sz w:val="24"/>
              <w:szCs w:val="24"/>
            </w:rPr>
          </w:pPr>
        </w:p>
        <w:p w:rsidR="008960FD" w:rsidRDefault="008960FD" w:rsidP="00A3665C">
          <w:pPr>
            <w:pStyle w:val="NoSpacing"/>
            <w:spacing w:line="360" w:lineRule="auto"/>
            <w:rPr>
              <w:rFonts w:asciiTheme="majorHAnsi" w:hAnsiTheme="majorHAnsi"/>
              <w:sz w:val="24"/>
              <w:szCs w:val="24"/>
            </w:rPr>
          </w:pPr>
          <w:r w:rsidRPr="00A3665C">
            <w:rPr>
              <w:rFonts w:asciiTheme="majorHAnsi" w:hAnsiTheme="majorHAnsi"/>
              <w:sz w:val="24"/>
              <w:szCs w:val="24"/>
            </w:rPr>
            <w:t xml:space="preserve">July 9, 2012 </w:t>
          </w:r>
        </w:p>
        <w:p w:rsidR="0060176F" w:rsidRPr="00A3665C" w:rsidRDefault="0060176F" w:rsidP="00A3665C">
          <w:pPr>
            <w:pStyle w:val="NoSpacing"/>
            <w:spacing w:line="360" w:lineRule="auto"/>
            <w:rPr>
              <w:rFonts w:asciiTheme="majorHAnsi" w:hAnsiTheme="majorHAnsi"/>
              <w:sz w:val="24"/>
              <w:szCs w:val="24"/>
            </w:rPr>
          </w:pPr>
        </w:p>
        <w:p w:rsidR="00460B28" w:rsidRPr="00A3665C" w:rsidRDefault="00460B28" w:rsidP="00A3665C">
          <w:pPr>
            <w:pStyle w:val="NoSpacing"/>
            <w:shd w:val="clear" w:color="auto" w:fill="4F81BD" w:themeFill="accent1"/>
            <w:spacing w:line="360" w:lineRule="auto"/>
            <w:rPr>
              <w:rFonts w:asciiTheme="majorHAnsi" w:eastAsiaTheme="majorEastAsia" w:hAnsiTheme="majorHAnsi" w:cstheme="majorBidi"/>
              <w:b/>
              <w:color w:val="FFFFFF" w:themeColor="background1"/>
              <w:sz w:val="24"/>
              <w:szCs w:val="24"/>
            </w:rPr>
          </w:pPr>
          <w:r w:rsidRPr="00A3665C">
            <w:rPr>
              <w:rFonts w:asciiTheme="majorHAnsi" w:eastAsiaTheme="majorEastAsia" w:hAnsiTheme="majorHAnsi" w:cstheme="majorBidi"/>
              <w:b/>
              <w:color w:val="FFFFFF" w:themeColor="background1"/>
              <w:sz w:val="24"/>
              <w:szCs w:val="24"/>
            </w:rPr>
            <w:lastRenderedPageBreak/>
            <w:t xml:space="preserve">Table of Content </w:t>
          </w:r>
        </w:p>
        <w:p w:rsidR="00460B28" w:rsidRPr="00A3665C" w:rsidRDefault="009A001F" w:rsidP="00A3665C">
          <w:pPr>
            <w:pStyle w:val="NoSpacing"/>
            <w:spacing w:line="360" w:lineRule="auto"/>
            <w:rPr>
              <w:rFonts w:asciiTheme="majorHAnsi" w:eastAsiaTheme="majorEastAsia" w:hAnsiTheme="majorHAnsi" w:cstheme="majorBidi"/>
              <w:sz w:val="24"/>
              <w:szCs w:val="24"/>
            </w:rPr>
          </w:pPr>
          <w:r w:rsidRPr="00A3665C">
            <w:rPr>
              <w:rFonts w:asciiTheme="majorHAnsi" w:eastAsiaTheme="majorEastAsia" w:hAnsiTheme="majorHAnsi" w:cstheme="majorBidi"/>
              <w:sz w:val="24"/>
              <w:szCs w:val="24"/>
            </w:rPr>
            <w:t>Definition of HRBA and Scope of Analysis--------------------------------------------------------------I</w:t>
          </w:r>
        </w:p>
        <w:p w:rsidR="00460B28" w:rsidRPr="00A3665C" w:rsidRDefault="0005342E" w:rsidP="00A3665C">
          <w:pPr>
            <w:pStyle w:val="NoSpacing"/>
            <w:spacing w:line="36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International Instruments Signed by Liberia----------------------------------------------------------- </w:t>
          </w:r>
        </w:p>
        <w:p w:rsidR="00460B28" w:rsidRPr="00A3665C" w:rsidRDefault="005F01A9" w:rsidP="00A3665C">
          <w:pPr>
            <w:pStyle w:val="NoSpacing"/>
            <w:spacing w:line="36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Problems-------------------------------------------------------------------------------------------------------</w:t>
          </w:r>
        </w:p>
        <w:p w:rsidR="00460B28" w:rsidRPr="00A3665C" w:rsidRDefault="005F01A9" w:rsidP="00A3665C">
          <w:pPr>
            <w:pStyle w:val="NoSpacing"/>
            <w:spacing w:line="36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Water, Sanitation and Hygiene----------------------------------------------------------------------------A</w:t>
          </w:r>
        </w:p>
        <w:p w:rsidR="00460B28" w:rsidRDefault="005F01A9" w:rsidP="00A3665C">
          <w:pPr>
            <w:pStyle w:val="NoSpacing"/>
            <w:spacing w:line="36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Health-----------------------------------------------------------------------------------------------------------B</w:t>
          </w:r>
        </w:p>
        <w:p w:rsidR="005F01A9" w:rsidRDefault="005F01A9" w:rsidP="00A3665C">
          <w:pPr>
            <w:pStyle w:val="NoSpacing"/>
            <w:spacing w:line="36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Education------------------------------------------------------------------------------------------------------C</w:t>
          </w:r>
        </w:p>
        <w:p w:rsidR="00A23DF7" w:rsidRDefault="00A23DF7" w:rsidP="00A3665C">
          <w:pPr>
            <w:pStyle w:val="NoSpacing"/>
            <w:spacing w:line="36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Critique of the Option---------------------------------------------------------------------------------------</w:t>
          </w:r>
        </w:p>
        <w:p w:rsidR="003F1D95" w:rsidRDefault="003F1D95" w:rsidP="00A3665C">
          <w:pPr>
            <w:pStyle w:val="NoSpacing"/>
            <w:spacing w:line="36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Recommendations-------------------------------------------------------------------------------------------</w:t>
          </w:r>
        </w:p>
        <w:p w:rsidR="003F1D95" w:rsidRPr="00A3665C" w:rsidRDefault="003F1D95" w:rsidP="00A3665C">
          <w:pPr>
            <w:pStyle w:val="NoSpacing"/>
            <w:spacing w:line="36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References----------------------------------------------------------------------------------------------------</w:t>
          </w:r>
        </w:p>
        <w:p w:rsidR="00460B28" w:rsidRPr="00A3665C" w:rsidRDefault="00460B28" w:rsidP="00A3665C">
          <w:pPr>
            <w:pStyle w:val="NoSpacing"/>
            <w:spacing w:line="360" w:lineRule="auto"/>
            <w:rPr>
              <w:rFonts w:asciiTheme="majorHAnsi" w:eastAsiaTheme="majorEastAsia" w:hAnsiTheme="majorHAnsi" w:cstheme="majorBidi"/>
              <w:sz w:val="24"/>
              <w:szCs w:val="24"/>
            </w:rPr>
          </w:pPr>
        </w:p>
        <w:p w:rsidR="00460B28" w:rsidRPr="00A3665C" w:rsidRDefault="00460B28" w:rsidP="00A3665C">
          <w:pPr>
            <w:pStyle w:val="NoSpacing"/>
            <w:spacing w:line="360" w:lineRule="auto"/>
            <w:rPr>
              <w:rFonts w:asciiTheme="majorHAnsi" w:eastAsiaTheme="majorEastAsia" w:hAnsiTheme="majorHAnsi" w:cstheme="majorBidi"/>
              <w:sz w:val="24"/>
              <w:szCs w:val="24"/>
            </w:rPr>
          </w:pPr>
        </w:p>
        <w:p w:rsidR="00460B28" w:rsidRPr="00A3665C" w:rsidRDefault="00460B28" w:rsidP="00A3665C">
          <w:pPr>
            <w:pStyle w:val="NoSpacing"/>
            <w:spacing w:line="360" w:lineRule="auto"/>
            <w:rPr>
              <w:rFonts w:asciiTheme="majorHAnsi" w:eastAsiaTheme="majorEastAsia" w:hAnsiTheme="majorHAnsi" w:cstheme="majorBidi"/>
              <w:sz w:val="24"/>
              <w:szCs w:val="24"/>
            </w:rPr>
          </w:pPr>
        </w:p>
        <w:p w:rsidR="00460B28" w:rsidRPr="00A3665C" w:rsidRDefault="00460B28" w:rsidP="00A3665C">
          <w:pPr>
            <w:pStyle w:val="NoSpacing"/>
            <w:spacing w:line="360" w:lineRule="auto"/>
            <w:rPr>
              <w:rFonts w:asciiTheme="majorHAnsi" w:eastAsiaTheme="majorEastAsia" w:hAnsiTheme="majorHAnsi" w:cstheme="majorBidi"/>
              <w:sz w:val="24"/>
              <w:szCs w:val="24"/>
            </w:rPr>
          </w:pPr>
        </w:p>
        <w:p w:rsidR="00460B28" w:rsidRPr="00A3665C" w:rsidRDefault="00460B28" w:rsidP="00A3665C">
          <w:pPr>
            <w:pStyle w:val="NoSpacing"/>
            <w:spacing w:line="360" w:lineRule="auto"/>
            <w:rPr>
              <w:rFonts w:asciiTheme="majorHAnsi" w:eastAsiaTheme="majorEastAsia" w:hAnsiTheme="majorHAnsi" w:cstheme="majorBidi"/>
              <w:sz w:val="24"/>
              <w:szCs w:val="24"/>
            </w:rPr>
          </w:pPr>
        </w:p>
        <w:p w:rsidR="00460B28" w:rsidRPr="00A3665C" w:rsidRDefault="00460B28" w:rsidP="00A3665C">
          <w:pPr>
            <w:pStyle w:val="NoSpacing"/>
            <w:spacing w:line="360" w:lineRule="auto"/>
            <w:rPr>
              <w:rFonts w:asciiTheme="majorHAnsi" w:eastAsiaTheme="majorEastAsia" w:hAnsiTheme="majorHAnsi" w:cstheme="majorBidi"/>
              <w:sz w:val="24"/>
              <w:szCs w:val="24"/>
            </w:rPr>
          </w:pPr>
        </w:p>
        <w:p w:rsidR="00460B28" w:rsidRPr="00A3665C" w:rsidRDefault="00460B28" w:rsidP="00A3665C">
          <w:pPr>
            <w:pStyle w:val="NoSpacing"/>
            <w:spacing w:line="360" w:lineRule="auto"/>
            <w:rPr>
              <w:rFonts w:asciiTheme="majorHAnsi" w:eastAsiaTheme="majorEastAsia" w:hAnsiTheme="majorHAnsi" w:cstheme="majorBidi"/>
              <w:sz w:val="24"/>
              <w:szCs w:val="24"/>
            </w:rPr>
          </w:pPr>
        </w:p>
        <w:p w:rsidR="00460B28" w:rsidRPr="00A3665C" w:rsidRDefault="00460B28" w:rsidP="00A3665C">
          <w:pPr>
            <w:pStyle w:val="NoSpacing"/>
            <w:spacing w:line="360" w:lineRule="auto"/>
            <w:rPr>
              <w:rFonts w:asciiTheme="majorHAnsi" w:eastAsiaTheme="majorEastAsia" w:hAnsiTheme="majorHAnsi" w:cstheme="majorBidi"/>
              <w:sz w:val="24"/>
              <w:szCs w:val="24"/>
            </w:rPr>
          </w:pPr>
        </w:p>
        <w:p w:rsidR="00460B28" w:rsidRPr="00A3665C" w:rsidRDefault="00460B28" w:rsidP="00A3665C">
          <w:pPr>
            <w:pStyle w:val="NoSpacing"/>
            <w:spacing w:line="360" w:lineRule="auto"/>
            <w:rPr>
              <w:rFonts w:asciiTheme="majorHAnsi" w:eastAsiaTheme="majorEastAsia" w:hAnsiTheme="majorHAnsi" w:cstheme="majorBidi"/>
              <w:sz w:val="24"/>
              <w:szCs w:val="24"/>
            </w:rPr>
          </w:pPr>
        </w:p>
        <w:p w:rsidR="00460B28" w:rsidRPr="00A3665C" w:rsidRDefault="00460B28" w:rsidP="00A3665C">
          <w:pPr>
            <w:pStyle w:val="NoSpacing"/>
            <w:spacing w:line="360" w:lineRule="auto"/>
            <w:rPr>
              <w:rFonts w:asciiTheme="majorHAnsi" w:eastAsiaTheme="majorEastAsia" w:hAnsiTheme="majorHAnsi" w:cstheme="majorBidi"/>
              <w:sz w:val="24"/>
              <w:szCs w:val="24"/>
            </w:rPr>
          </w:pPr>
        </w:p>
        <w:p w:rsidR="00460B28" w:rsidRPr="00A3665C" w:rsidRDefault="00460B28" w:rsidP="00A3665C">
          <w:pPr>
            <w:pStyle w:val="NoSpacing"/>
            <w:spacing w:line="360" w:lineRule="auto"/>
            <w:rPr>
              <w:rFonts w:asciiTheme="majorHAnsi" w:eastAsiaTheme="majorEastAsia" w:hAnsiTheme="majorHAnsi" w:cstheme="majorBidi"/>
              <w:sz w:val="24"/>
              <w:szCs w:val="24"/>
            </w:rPr>
          </w:pPr>
        </w:p>
        <w:p w:rsidR="00460B28" w:rsidRPr="00A3665C" w:rsidRDefault="00460B28" w:rsidP="00A3665C">
          <w:pPr>
            <w:pStyle w:val="NoSpacing"/>
            <w:spacing w:line="360" w:lineRule="auto"/>
            <w:rPr>
              <w:rFonts w:asciiTheme="majorHAnsi" w:eastAsiaTheme="majorEastAsia" w:hAnsiTheme="majorHAnsi" w:cstheme="majorBidi"/>
              <w:sz w:val="24"/>
              <w:szCs w:val="24"/>
            </w:rPr>
          </w:pPr>
        </w:p>
        <w:p w:rsidR="00460B28" w:rsidRPr="00A3665C" w:rsidRDefault="00460B28" w:rsidP="00A3665C">
          <w:pPr>
            <w:pStyle w:val="NoSpacing"/>
            <w:spacing w:line="360" w:lineRule="auto"/>
            <w:rPr>
              <w:rFonts w:asciiTheme="majorHAnsi" w:eastAsiaTheme="majorEastAsia" w:hAnsiTheme="majorHAnsi" w:cstheme="majorBidi"/>
              <w:sz w:val="24"/>
              <w:szCs w:val="24"/>
            </w:rPr>
          </w:pPr>
        </w:p>
        <w:p w:rsidR="00460B28" w:rsidRPr="00A3665C" w:rsidRDefault="00460B28" w:rsidP="00A3665C">
          <w:pPr>
            <w:pStyle w:val="NoSpacing"/>
            <w:spacing w:line="360" w:lineRule="auto"/>
            <w:rPr>
              <w:rFonts w:asciiTheme="majorHAnsi" w:eastAsiaTheme="majorEastAsia" w:hAnsiTheme="majorHAnsi" w:cstheme="majorBidi"/>
              <w:sz w:val="24"/>
              <w:szCs w:val="24"/>
            </w:rPr>
          </w:pPr>
        </w:p>
        <w:p w:rsidR="00460B28" w:rsidRPr="00A3665C" w:rsidRDefault="00460B28" w:rsidP="00A3665C">
          <w:pPr>
            <w:pStyle w:val="NoSpacing"/>
            <w:spacing w:line="360" w:lineRule="auto"/>
            <w:rPr>
              <w:rFonts w:asciiTheme="majorHAnsi" w:eastAsiaTheme="majorEastAsia" w:hAnsiTheme="majorHAnsi" w:cstheme="majorBidi"/>
              <w:sz w:val="24"/>
              <w:szCs w:val="24"/>
            </w:rPr>
          </w:pPr>
        </w:p>
        <w:p w:rsidR="00460B28" w:rsidRPr="00A3665C" w:rsidRDefault="00460B28" w:rsidP="00A3665C">
          <w:pPr>
            <w:pStyle w:val="NoSpacing"/>
            <w:spacing w:line="360" w:lineRule="auto"/>
            <w:rPr>
              <w:rFonts w:asciiTheme="majorHAnsi" w:eastAsiaTheme="majorEastAsia" w:hAnsiTheme="majorHAnsi" w:cstheme="majorBidi"/>
              <w:sz w:val="24"/>
              <w:szCs w:val="24"/>
            </w:rPr>
          </w:pPr>
        </w:p>
        <w:p w:rsidR="00460B28" w:rsidRPr="00A3665C" w:rsidRDefault="00460B28" w:rsidP="00A3665C">
          <w:pPr>
            <w:pStyle w:val="NoSpacing"/>
            <w:spacing w:line="360" w:lineRule="auto"/>
            <w:rPr>
              <w:rFonts w:asciiTheme="majorHAnsi" w:eastAsiaTheme="majorEastAsia" w:hAnsiTheme="majorHAnsi" w:cstheme="majorBidi"/>
              <w:sz w:val="24"/>
              <w:szCs w:val="24"/>
            </w:rPr>
          </w:pPr>
        </w:p>
        <w:p w:rsidR="00460B28" w:rsidRPr="00A3665C" w:rsidRDefault="00460B28" w:rsidP="00A3665C">
          <w:pPr>
            <w:pStyle w:val="NoSpacing"/>
            <w:spacing w:line="360" w:lineRule="auto"/>
            <w:rPr>
              <w:rFonts w:asciiTheme="majorHAnsi" w:eastAsiaTheme="majorEastAsia" w:hAnsiTheme="majorHAnsi" w:cstheme="majorBidi"/>
              <w:sz w:val="24"/>
              <w:szCs w:val="24"/>
            </w:rPr>
          </w:pPr>
        </w:p>
        <w:p w:rsidR="00460B28" w:rsidRPr="00A3665C" w:rsidRDefault="00460B28" w:rsidP="00A3665C">
          <w:pPr>
            <w:pStyle w:val="NoSpacing"/>
            <w:spacing w:line="360" w:lineRule="auto"/>
            <w:rPr>
              <w:rFonts w:asciiTheme="majorHAnsi" w:eastAsiaTheme="majorEastAsia" w:hAnsiTheme="majorHAnsi" w:cstheme="majorBidi"/>
              <w:sz w:val="24"/>
              <w:szCs w:val="24"/>
            </w:rPr>
          </w:pPr>
        </w:p>
        <w:p w:rsidR="00460B28" w:rsidRPr="00A3665C" w:rsidRDefault="00460B28" w:rsidP="00A3665C">
          <w:pPr>
            <w:pStyle w:val="NoSpacing"/>
            <w:spacing w:line="360" w:lineRule="auto"/>
            <w:rPr>
              <w:rFonts w:asciiTheme="majorHAnsi" w:eastAsiaTheme="majorEastAsia" w:hAnsiTheme="majorHAnsi" w:cstheme="majorBidi"/>
              <w:sz w:val="24"/>
              <w:szCs w:val="24"/>
            </w:rPr>
          </w:pPr>
        </w:p>
        <w:p w:rsidR="00460B28" w:rsidRPr="00A3665C" w:rsidRDefault="00460B28" w:rsidP="00A3665C">
          <w:pPr>
            <w:pStyle w:val="NoSpacing"/>
            <w:spacing w:line="360" w:lineRule="auto"/>
            <w:rPr>
              <w:rFonts w:asciiTheme="majorHAnsi" w:eastAsiaTheme="majorEastAsia" w:hAnsiTheme="majorHAnsi" w:cstheme="majorBidi"/>
              <w:sz w:val="24"/>
              <w:szCs w:val="24"/>
            </w:rPr>
          </w:pPr>
        </w:p>
        <w:p w:rsidR="005F6AE3" w:rsidRPr="00A3665C" w:rsidRDefault="009A001F" w:rsidP="00A3665C">
          <w:pPr>
            <w:pStyle w:val="NoSpacing"/>
            <w:shd w:val="clear" w:color="auto" w:fill="4F81BD" w:themeFill="accent1"/>
            <w:spacing w:line="360" w:lineRule="auto"/>
            <w:rPr>
              <w:rFonts w:asciiTheme="majorHAnsi" w:eastAsiaTheme="majorEastAsia" w:hAnsiTheme="majorHAnsi" w:cstheme="majorBidi"/>
              <w:b/>
              <w:color w:val="FFFFFF" w:themeColor="background1"/>
              <w:sz w:val="24"/>
              <w:szCs w:val="24"/>
            </w:rPr>
          </w:pPr>
          <w:r w:rsidRPr="00A3665C">
            <w:rPr>
              <w:rFonts w:asciiTheme="majorHAnsi" w:eastAsiaTheme="majorEastAsia" w:hAnsiTheme="majorHAnsi" w:cstheme="majorBidi"/>
              <w:b/>
              <w:color w:val="FFFFFF" w:themeColor="background1"/>
              <w:sz w:val="24"/>
              <w:szCs w:val="24"/>
            </w:rPr>
            <w:lastRenderedPageBreak/>
            <w:t xml:space="preserve">I. </w:t>
          </w:r>
          <w:r w:rsidR="005F6AE3" w:rsidRPr="00A3665C">
            <w:rPr>
              <w:rFonts w:asciiTheme="majorHAnsi" w:eastAsiaTheme="majorEastAsia" w:hAnsiTheme="majorHAnsi" w:cstheme="majorBidi"/>
              <w:b/>
              <w:color w:val="FFFFFF" w:themeColor="background1"/>
              <w:sz w:val="24"/>
              <w:szCs w:val="24"/>
            </w:rPr>
            <w:t xml:space="preserve">Definition of HRBA and Scope of Analysis </w:t>
          </w:r>
        </w:p>
        <w:p w:rsidR="005F6AE3" w:rsidRPr="00A3665C" w:rsidRDefault="005F6AE3" w:rsidP="00A3665C">
          <w:pPr>
            <w:spacing w:line="360" w:lineRule="auto"/>
            <w:jc w:val="both"/>
            <w:rPr>
              <w:rFonts w:asciiTheme="majorHAnsi" w:hAnsiTheme="majorHAnsi"/>
              <w:sz w:val="24"/>
              <w:szCs w:val="24"/>
            </w:rPr>
          </w:pPr>
          <w:r w:rsidRPr="00A3665C">
            <w:rPr>
              <w:rFonts w:asciiTheme="majorHAnsi" w:hAnsiTheme="majorHAnsi"/>
              <w:sz w:val="24"/>
              <w:szCs w:val="24"/>
            </w:rPr>
            <w:t xml:space="preserve">Applying a human rights-based approach (HRBA) to budgeting analysis is a means to assess steps taken by Liberia in addressing her obligations based on commitments made by ratifying human rights treaties and to strengthen transparency and accountability. The main goal is to analyze and monitor government efforts being undertaken to meet ratified international treaties and agreed national human rights obligations through budgetary decisions related to revenue, allocations and expenditure and their impact on protecting and promoting human rights in Liberia.      </w:t>
          </w:r>
        </w:p>
        <w:p w:rsidR="005F6AE3" w:rsidRPr="00A3665C" w:rsidRDefault="005F6AE3" w:rsidP="00A3665C">
          <w:pPr>
            <w:spacing w:line="360" w:lineRule="auto"/>
            <w:jc w:val="both"/>
            <w:rPr>
              <w:rFonts w:asciiTheme="majorHAnsi" w:hAnsiTheme="majorHAnsi"/>
              <w:sz w:val="24"/>
              <w:szCs w:val="24"/>
            </w:rPr>
          </w:pPr>
          <w:r w:rsidRPr="00A3665C">
            <w:rPr>
              <w:rFonts w:asciiTheme="majorHAnsi" w:hAnsiTheme="majorHAnsi"/>
              <w:sz w:val="24"/>
              <w:szCs w:val="24"/>
            </w:rPr>
            <w:t xml:space="preserve">Human rights treaties are the foundation of a human-rights based approach. States have the obligation to respect, protect and fulfill the human rights laid down in the treaties they have signed and ratified. A human rights-based approach is based on human rights standards and principles and it develops the capacities of duty-bearers (primarily government at different administration levels) to fulfill their obligations and of rights-holders to claim their rights.  </w:t>
          </w:r>
        </w:p>
        <w:p w:rsidR="005F6AE3" w:rsidRPr="00A3665C" w:rsidRDefault="005F6AE3" w:rsidP="00A3665C">
          <w:pPr>
            <w:spacing w:line="360" w:lineRule="auto"/>
            <w:jc w:val="both"/>
            <w:rPr>
              <w:rFonts w:asciiTheme="majorHAnsi" w:hAnsiTheme="majorHAnsi"/>
              <w:sz w:val="24"/>
              <w:szCs w:val="24"/>
            </w:rPr>
          </w:pPr>
          <w:r w:rsidRPr="00A3665C">
            <w:rPr>
              <w:rFonts w:asciiTheme="majorHAnsi" w:hAnsiTheme="majorHAnsi"/>
              <w:sz w:val="24"/>
              <w:szCs w:val="24"/>
            </w:rPr>
            <w:t>Th</w:t>
          </w:r>
          <w:r w:rsidR="00A509CB" w:rsidRPr="00A3665C">
            <w:rPr>
              <w:rFonts w:asciiTheme="majorHAnsi" w:hAnsiTheme="majorHAnsi"/>
              <w:sz w:val="24"/>
              <w:szCs w:val="24"/>
            </w:rPr>
            <w:t>is Policy Brief</w:t>
          </w:r>
          <w:r w:rsidRPr="00A3665C">
            <w:rPr>
              <w:rFonts w:asciiTheme="majorHAnsi" w:hAnsiTheme="majorHAnsi"/>
              <w:sz w:val="24"/>
              <w:szCs w:val="24"/>
            </w:rPr>
            <w:t xml:space="preserve"> is a rights –based budget analysis </w:t>
          </w:r>
          <w:r w:rsidR="00A509CB" w:rsidRPr="00A3665C">
            <w:rPr>
              <w:rFonts w:asciiTheme="majorHAnsi" w:hAnsiTheme="majorHAnsi"/>
              <w:sz w:val="24"/>
              <w:szCs w:val="24"/>
            </w:rPr>
            <w:t xml:space="preserve">prepared to be </w:t>
          </w:r>
          <w:r w:rsidRPr="00A3665C">
            <w:rPr>
              <w:rFonts w:asciiTheme="majorHAnsi" w:hAnsiTheme="majorHAnsi"/>
              <w:sz w:val="24"/>
              <w:szCs w:val="24"/>
            </w:rPr>
            <w:t xml:space="preserve">presented </w:t>
          </w:r>
          <w:r w:rsidR="00A509CB" w:rsidRPr="00A3665C">
            <w:rPr>
              <w:rFonts w:asciiTheme="majorHAnsi" w:hAnsiTheme="majorHAnsi"/>
              <w:sz w:val="24"/>
              <w:szCs w:val="24"/>
            </w:rPr>
            <w:t xml:space="preserve">to </w:t>
          </w:r>
          <w:r w:rsidRPr="00A3665C">
            <w:rPr>
              <w:rFonts w:asciiTheme="majorHAnsi" w:hAnsiTheme="majorHAnsi"/>
              <w:sz w:val="24"/>
              <w:szCs w:val="24"/>
            </w:rPr>
            <w:t xml:space="preserve">the government </w:t>
          </w:r>
          <w:r w:rsidR="00A509CB" w:rsidRPr="00A3665C">
            <w:rPr>
              <w:rFonts w:asciiTheme="majorHAnsi" w:hAnsiTheme="majorHAnsi"/>
              <w:sz w:val="24"/>
              <w:szCs w:val="24"/>
            </w:rPr>
            <w:t xml:space="preserve">of Liberia </w:t>
          </w:r>
          <w:r w:rsidRPr="00A3665C">
            <w:rPr>
              <w:rFonts w:asciiTheme="majorHAnsi" w:hAnsiTheme="majorHAnsi"/>
              <w:sz w:val="24"/>
              <w:szCs w:val="24"/>
            </w:rPr>
            <w:t xml:space="preserve">by the </w:t>
          </w:r>
          <w:r w:rsidR="00A509CB" w:rsidRPr="00A3665C">
            <w:rPr>
              <w:rFonts w:asciiTheme="majorHAnsi" w:hAnsiTheme="majorHAnsi"/>
              <w:sz w:val="24"/>
              <w:szCs w:val="24"/>
            </w:rPr>
            <w:t>Action for Genuine Democratic Alternative (AGENDA)</w:t>
          </w:r>
          <w:r w:rsidRPr="00A3665C">
            <w:rPr>
              <w:rFonts w:asciiTheme="majorHAnsi" w:hAnsiTheme="majorHAnsi"/>
              <w:sz w:val="24"/>
              <w:szCs w:val="24"/>
            </w:rPr>
            <w:t xml:space="preserve">. The </w:t>
          </w:r>
          <w:r w:rsidR="0095084B" w:rsidRPr="00A3665C">
            <w:rPr>
              <w:rFonts w:asciiTheme="majorHAnsi" w:hAnsiTheme="majorHAnsi"/>
              <w:sz w:val="24"/>
              <w:szCs w:val="24"/>
            </w:rPr>
            <w:t>Policy B</w:t>
          </w:r>
          <w:r w:rsidR="00A509CB" w:rsidRPr="00A3665C">
            <w:rPr>
              <w:rFonts w:asciiTheme="majorHAnsi" w:hAnsiTheme="majorHAnsi"/>
              <w:sz w:val="24"/>
              <w:szCs w:val="24"/>
            </w:rPr>
            <w:t xml:space="preserve">rief </w:t>
          </w:r>
          <w:r w:rsidRPr="00A3665C">
            <w:rPr>
              <w:rFonts w:asciiTheme="majorHAnsi" w:hAnsiTheme="majorHAnsi"/>
              <w:sz w:val="24"/>
              <w:szCs w:val="24"/>
            </w:rPr>
            <w:t>focus</w:t>
          </w:r>
          <w:r w:rsidR="0095084B" w:rsidRPr="00A3665C">
            <w:rPr>
              <w:rFonts w:asciiTheme="majorHAnsi" w:hAnsiTheme="majorHAnsi"/>
              <w:sz w:val="24"/>
              <w:szCs w:val="24"/>
            </w:rPr>
            <w:t>es</w:t>
          </w:r>
          <w:r w:rsidRPr="00A3665C">
            <w:rPr>
              <w:rFonts w:asciiTheme="majorHAnsi" w:hAnsiTheme="majorHAnsi"/>
              <w:sz w:val="24"/>
              <w:szCs w:val="24"/>
            </w:rPr>
            <w:t xml:space="preserve"> </w:t>
          </w:r>
          <w:r w:rsidR="00A509CB" w:rsidRPr="00A3665C">
            <w:rPr>
              <w:rFonts w:asciiTheme="majorHAnsi" w:hAnsiTheme="majorHAnsi"/>
              <w:sz w:val="24"/>
              <w:szCs w:val="24"/>
            </w:rPr>
            <w:t xml:space="preserve">on </w:t>
          </w:r>
          <w:r w:rsidR="0095084B" w:rsidRPr="00A3665C">
            <w:rPr>
              <w:rFonts w:asciiTheme="majorHAnsi" w:hAnsiTheme="majorHAnsi"/>
              <w:sz w:val="24"/>
              <w:szCs w:val="24"/>
            </w:rPr>
            <w:t xml:space="preserve">the </w:t>
          </w:r>
          <w:r w:rsidR="00A509CB" w:rsidRPr="00A3665C">
            <w:rPr>
              <w:rFonts w:asciiTheme="majorHAnsi" w:hAnsiTheme="majorHAnsi"/>
              <w:sz w:val="24"/>
              <w:szCs w:val="24"/>
            </w:rPr>
            <w:t>r</w:t>
          </w:r>
          <w:r w:rsidR="0095084B" w:rsidRPr="00A3665C">
            <w:rPr>
              <w:rFonts w:asciiTheme="majorHAnsi" w:hAnsiTheme="majorHAnsi"/>
              <w:sz w:val="24"/>
              <w:szCs w:val="24"/>
            </w:rPr>
            <w:t>ight to education; the rights health care;</w:t>
          </w:r>
          <w:r w:rsidR="00A509CB" w:rsidRPr="00A3665C">
            <w:rPr>
              <w:rFonts w:asciiTheme="majorHAnsi" w:hAnsiTheme="majorHAnsi"/>
              <w:sz w:val="24"/>
              <w:szCs w:val="24"/>
            </w:rPr>
            <w:t xml:space="preserve"> </w:t>
          </w:r>
          <w:r w:rsidR="0095084B" w:rsidRPr="00A3665C">
            <w:rPr>
              <w:rFonts w:asciiTheme="majorHAnsi" w:hAnsiTheme="majorHAnsi"/>
              <w:sz w:val="24"/>
              <w:szCs w:val="24"/>
            </w:rPr>
            <w:t xml:space="preserve">the rights to </w:t>
          </w:r>
          <w:r w:rsidR="00A509CB" w:rsidRPr="00A3665C">
            <w:rPr>
              <w:rFonts w:asciiTheme="majorHAnsi" w:hAnsiTheme="majorHAnsi"/>
              <w:sz w:val="24"/>
              <w:szCs w:val="24"/>
            </w:rPr>
            <w:t>water and sanitation</w:t>
          </w:r>
          <w:r w:rsidRPr="00A3665C">
            <w:rPr>
              <w:rFonts w:asciiTheme="majorHAnsi" w:hAnsiTheme="majorHAnsi"/>
              <w:sz w:val="24"/>
              <w:szCs w:val="24"/>
            </w:rPr>
            <w:t xml:space="preserve">. </w:t>
          </w:r>
          <w:r w:rsidR="0095084B" w:rsidRPr="00A3665C">
            <w:rPr>
              <w:rFonts w:asciiTheme="majorHAnsi" w:hAnsiTheme="majorHAnsi"/>
              <w:sz w:val="24"/>
              <w:szCs w:val="24"/>
            </w:rPr>
            <w:t>Additionally, the policy brief contain critique of policy options, and will advance recommendation suggesting where unnecessary spending is been made that should be cut and transfer to social service provision that will make lasting impact on low or no income earners</w:t>
          </w:r>
          <w:r w:rsidRPr="00A3665C">
            <w:rPr>
              <w:rFonts w:asciiTheme="majorHAnsi" w:hAnsiTheme="majorHAnsi"/>
              <w:sz w:val="24"/>
              <w:szCs w:val="24"/>
            </w:rPr>
            <w:t xml:space="preserve">. </w:t>
          </w:r>
        </w:p>
        <w:p w:rsidR="005F6AE3" w:rsidRPr="00F978EA" w:rsidRDefault="00F978EA" w:rsidP="00F978EA">
          <w:pPr>
            <w:pStyle w:val="NoSpacing"/>
            <w:shd w:val="clear" w:color="auto" w:fill="4F81BD" w:themeFill="accent1"/>
            <w:spacing w:line="360" w:lineRule="auto"/>
            <w:rPr>
              <w:rFonts w:asciiTheme="majorHAnsi" w:eastAsiaTheme="majorEastAsia" w:hAnsiTheme="majorHAnsi" w:cstheme="majorBidi"/>
              <w:b/>
              <w:color w:val="FFFFFF" w:themeColor="background1"/>
              <w:sz w:val="24"/>
              <w:szCs w:val="24"/>
            </w:rPr>
          </w:pPr>
          <w:r w:rsidRPr="00F978EA">
            <w:rPr>
              <w:rFonts w:asciiTheme="majorHAnsi" w:eastAsiaTheme="majorEastAsia" w:hAnsiTheme="majorHAnsi" w:cstheme="majorBidi"/>
              <w:b/>
              <w:color w:val="FFFFFF" w:themeColor="background1"/>
              <w:sz w:val="24"/>
              <w:szCs w:val="24"/>
            </w:rPr>
            <w:t xml:space="preserve">International Instruments </w:t>
          </w:r>
          <w:r w:rsidR="0005342E">
            <w:rPr>
              <w:rFonts w:asciiTheme="majorHAnsi" w:eastAsiaTheme="majorEastAsia" w:hAnsiTheme="majorHAnsi" w:cstheme="majorBidi"/>
              <w:b/>
              <w:color w:val="FFFFFF" w:themeColor="background1"/>
              <w:sz w:val="24"/>
              <w:szCs w:val="24"/>
            </w:rPr>
            <w:t xml:space="preserve">Signed by </w:t>
          </w:r>
          <w:r w:rsidRPr="00F978EA">
            <w:rPr>
              <w:rFonts w:asciiTheme="majorHAnsi" w:eastAsiaTheme="majorEastAsia" w:hAnsiTheme="majorHAnsi" w:cstheme="majorBidi"/>
              <w:b/>
              <w:color w:val="FFFFFF" w:themeColor="background1"/>
              <w:sz w:val="24"/>
              <w:szCs w:val="24"/>
            </w:rPr>
            <w:t xml:space="preserve">Liberia </w:t>
          </w:r>
        </w:p>
        <w:p w:rsidR="00F978EA" w:rsidRPr="00A3665C" w:rsidRDefault="00F978EA" w:rsidP="00F978EA">
          <w:pPr>
            <w:spacing w:line="360" w:lineRule="auto"/>
            <w:jc w:val="both"/>
            <w:rPr>
              <w:rFonts w:asciiTheme="majorHAnsi" w:hAnsiTheme="majorHAnsi"/>
              <w:sz w:val="24"/>
              <w:szCs w:val="24"/>
            </w:rPr>
          </w:pPr>
          <w:r w:rsidRPr="00A3665C">
            <w:rPr>
              <w:rFonts w:asciiTheme="majorHAnsi" w:hAnsiTheme="majorHAnsi"/>
              <w:sz w:val="24"/>
              <w:szCs w:val="24"/>
            </w:rPr>
            <w:t xml:space="preserve">The </w:t>
          </w:r>
          <w:r>
            <w:rPr>
              <w:rFonts w:asciiTheme="majorHAnsi" w:hAnsiTheme="majorHAnsi"/>
              <w:sz w:val="24"/>
              <w:szCs w:val="24"/>
            </w:rPr>
            <w:t xml:space="preserve">Republic of Liberia has signed several international instruments that guarantee basic social, economic, political and other human rights including </w:t>
          </w:r>
          <w:r w:rsidRPr="00A3665C">
            <w:rPr>
              <w:rFonts w:asciiTheme="majorHAnsi" w:hAnsiTheme="majorHAnsi"/>
              <w:sz w:val="24"/>
              <w:szCs w:val="24"/>
            </w:rPr>
            <w:t>the International Covenant on Economic, Social and Cultural Rights (ICESCR)</w:t>
          </w:r>
          <w:r w:rsidRPr="00A3665C">
            <w:rPr>
              <w:rStyle w:val="FootnoteReference"/>
              <w:rFonts w:asciiTheme="majorHAnsi" w:hAnsiTheme="majorHAnsi"/>
              <w:sz w:val="24"/>
              <w:szCs w:val="24"/>
            </w:rPr>
            <w:footnoteReference w:id="1"/>
          </w:r>
          <w:r w:rsidRPr="00A3665C">
            <w:rPr>
              <w:rFonts w:asciiTheme="majorHAnsi" w:hAnsiTheme="majorHAnsi"/>
              <w:sz w:val="24"/>
              <w:szCs w:val="24"/>
            </w:rPr>
            <w:t xml:space="preserve">. </w:t>
          </w:r>
          <w:r w:rsidRPr="00A3665C">
            <w:rPr>
              <w:rFonts w:asciiTheme="majorHAnsi" w:eastAsia="Calibri" w:hAnsiTheme="majorHAnsi"/>
              <w:color w:val="000000"/>
              <w:sz w:val="24"/>
              <w:szCs w:val="24"/>
            </w:rPr>
            <w:t xml:space="preserve">Article 2 (1) of the ICESCR which Liberia has ratified obligates each State party to take the necessary steps “to the maximum of its available resources with a view to achieving progressively the full realization of the rights </w:t>
          </w:r>
          <w:r w:rsidRPr="00A3665C">
            <w:rPr>
              <w:rFonts w:asciiTheme="majorHAnsi" w:eastAsia="Calibri" w:hAnsiTheme="majorHAnsi"/>
              <w:color w:val="000000"/>
              <w:sz w:val="24"/>
              <w:szCs w:val="24"/>
            </w:rPr>
            <w:lastRenderedPageBreak/>
            <w:t>recognized in the present Covenant”.  The General Comment No. 3</w:t>
          </w:r>
          <w:r w:rsidRPr="00A3665C">
            <w:rPr>
              <w:rStyle w:val="FootnoteReference"/>
              <w:rFonts w:asciiTheme="majorHAnsi" w:eastAsia="Calibri" w:hAnsiTheme="majorHAnsi"/>
              <w:color w:val="000000"/>
              <w:sz w:val="24"/>
              <w:szCs w:val="24"/>
            </w:rPr>
            <w:footnoteReference w:id="2"/>
          </w:r>
          <w:r w:rsidRPr="00A3665C">
            <w:rPr>
              <w:rFonts w:asciiTheme="majorHAnsi" w:eastAsia="Calibri" w:hAnsiTheme="majorHAnsi"/>
              <w:color w:val="000000"/>
              <w:sz w:val="24"/>
              <w:szCs w:val="24"/>
            </w:rPr>
            <w:t xml:space="preserve"> specifies that “In order for a State party to be able to attribute its failure to meet at least its minimum core obligations to a lack of available resources it must demonstrate that every effort has been made to use all resources that are at its disposition in an effort to satisfy, as a matter of priority, those minimum obligations”. </w:t>
          </w:r>
          <w:r w:rsidRPr="00A3665C">
            <w:rPr>
              <w:rFonts w:asciiTheme="majorHAnsi" w:hAnsiTheme="majorHAnsi"/>
              <w:sz w:val="24"/>
              <w:szCs w:val="24"/>
            </w:rPr>
            <w:t>"Its available resources" refers to both the resources within a State and those available from the international community through international co-operation and assistance. State parties need to assure to everyone the satisfaction of subsistence requirements as well as the provision of essential services, and in the analysis of the measures taken for the realization of the rights recognized in the Covenant attention shall be paid to equitable and effective use of and access to the available resources.</w:t>
          </w:r>
        </w:p>
        <w:p w:rsidR="00F978EA" w:rsidRPr="00A3665C" w:rsidRDefault="00F978EA" w:rsidP="00F978EA">
          <w:pPr>
            <w:spacing w:line="360" w:lineRule="auto"/>
            <w:jc w:val="both"/>
            <w:rPr>
              <w:rFonts w:asciiTheme="majorHAnsi" w:hAnsiTheme="majorHAnsi"/>
              <w:sz w:val="24"/>
              <w:szCs w:val="24"/>
            </w:rPr>
          </w:pPr>
          <w:r w:rsidRPr="00A3665C">
            <w:rPr>
              <w:rFonts w:asciiTheme="majorHAnsi" w:hAnsiTheme="majorHAnsi"/>
              <w:sz w:val="24"/>
              <w:szCs w:val="24"/>
            </w:rPr>
            <w:t>According to the Limburg Principles</w:t>
          </w:r>
          <w:r w:rsidRPr="00A3665C">
            <w:rPr>
              <w:rStyle w:val="FootnoteReference"/>
              <w:rFonts w:asciiTheme="majorHAnsi" w:hAnsiTheme="majorHAnsi"/>
              <w:sz w:val="24"/>
              <w:szCs w:val="24"/>
            </w:rPr>
            <w:footnoteReference w:id="3"/>
          </w:r>
          <w:r w:rsidRPr="00A3665C">
            <w:rPr>
              <w:rFonts w:asciiTheme="majorHAnsi" w:hAnsiTheme="majorHAnsi"/>
              <w:sz w:val="24"/>
              <w:szCs w:val="24"/>
            </w:rPr>
            <w:t xml:space="preserve">, “States parties are obligated regardless of the level of economic development, to ensure respect for minimum subsistence rights for all.” The obligation to “achieve progressively the full realization of the rights" requires States parties to move as expeditiously as possible towards the realization of the rights”. </w:t>
          </w:r>
        </w:p>
        <w:p w:rsidR="00F978EA" w:rsidRPr="00A3665C" w:rsidRDefault="00F978EA" w:rsidP="006133EA">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The government also signed the eThequini declaration reached in 2008 in South Africa by ministers of water, sanitation and health </w:t>
          </w:r>
          <w:r w:rsidR="00C82604">
            <w:rPr>
              <w:rFonts w:asciiTheme="majorHAnsi" w:eastAsiaTheme="majorEastAsia" w:hAnsiTheme="majorHAnsi" w:cstheme="majorBidi"/>
              <w:sz w:val="24"/>
              <w:szCs w:val="24"/>
            </w:rPr>
            <w:t>during the 2</w:t>
          </w:r>
          <w:r w:rsidR="00C82604" w:rsidRPr="00C82604">
            <w:rPr>
              <w:rFonts w:asciiTheme="majorHAnsi" w:eastAsiaTheme="majorEastAsia" w:hAnsiTheme="majorHAnsi" w:cstheme="majorBidi"/>
              <w:sz w:val="24"/>
              <w:szCs w:val="24"/>
              <w:vertAlign w:val="superscript"/>
            </w:rPr>
            <w:t>nd</w:t>
          </w:r>
          <w:r w:rsidR="00C82604">
            <w:rPr>
              <w:rFonts w:asciiTheme="majorHAnsi" w:eastAsiaTheme="majorEastAsia" w:hAnsiTheme="majorHAnsi" w:cstheme="majorBidi"/>
              <w:sz w:val="24"/>
              <w:szCs w:val="24"/>
            </w:rPr>
            <w:t xml:space="preserve"> Africa Conference on Water, </w:t>
          </w:r>
          <w:r w:rsidR="00E85CA9">
            <w:rPr>
              <w:rFonts w:asciiTheme="majorHAnsi" w:eastAsiaTheme="majorEastAsia" w:hAnsiTheme="majorHAnsi" w:cstheme="majorBidi"/>
              <w:sz w:val="24"/>
              <w:szCs w:val="24"/>
            </w:rPr>
            <w:t>Sanitation</w:t>
          </w:r>
          <w:r w:rsidR="00C82604">
            <w:rPr>
              <w:rFonts w:asciiTheme="majorHAnsi" w:eastAsiaTheme="majorEastAsia" w:hAnsiTheme="majorHAnsi" w:cstheme="majorBidi"/>
              <w:sz w:val="24"/>
              <w:szCs w:val="24"/>
            </w:rPr>
            <w:t xml:space="preserve"> and hygiene. The </w:t>
          </w:r>
          <w:r w:rsidR="00E85CA9">
            <w:rPr>
              <w:rFonts w:asciiTheme="majorHAnsi" w:eastAsiaTheme="majorEastAsia" w:hAnsiTheme="majorHAnsi" w:cstheme="majorBidi"/>
              <w:sz w:val="24"/>
              <w:szCs w:val="24"/>
            </w:rPr>
            <w:t>declaration commits</w:t>
          </w:r>
          <w:r w:rsidR="00C82604">
            <w:rPr>
              <w:rFonts w:asciiTheme="majorHAnsi" w:eastAsiaTheme="majorEastAsia" w:hAnsiTheme="majorHAnsi" w:cstheme="majorBidi"/>
              <w:sz w:val="24"/>
              <w:szCs w:val="24"/>
            </w:rPr>
            <w:t xml:space="preserve"> countries who signed the document to invest 0.05% of their national GDP on sanitation. Liberia also signed the UN Resolution</w:t>
          </w:r>
          <w:r w:rsidR="00E85CA9">
            <w:rPr>
              <w:rFonts w:asciiTheme="majorHAnsi" w:eastAsiaTheme="majorEastAsia" w:hAnsiTheme="majorHAnsi" w:cstheme="majorBidi"/>
              <w:sz w:val="24"/>
              <w:szCs w:val="24"/>
            </w:rPr>
            <w:t xml:space="preserve"> </w:t>
          </w:r>
          <w:r w:rsidR="006E7B01">
            <w:rPr>
              <w:rFonts w:asciiTheme="majorHAnsi" w:eastAsiaTheme="majorEastAsia" w:hAnsiTheme="majorHAnsi" w:cstheme="majorBidi"/>
              <w:sz w:val="24"/>
              <w:szCs w:val="24"/>
            </w:rPr>
            <w:t>reached in August 2010 which declared water and sanitation as human rights.</w:t>
          </w:r>
          <w:r w:rsidR="00C82604">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w:t>
          </w:r>
        </w:p>
        <w:p w:rsidR="00831BC4" w:rsidRPr="00831BC4" w:rsidRDefault="00831BC4" w:rsidP="006133EA">
          <w:pPr>
            <w:pStyle w:val="NoSpacing"/>
            <w:spacing w:line="360" w:lineRule="auto"/>
            <w:jc w:val="both"/>
            <w:rPr>
              <w:rFonts w:ascii="Calibri" w:eastAsia="Calibri" w:hAnsi="Calibri" w:cs="Calibri"/>
              <w:sz w:val="12"/>
            </w:rPr>
          </w:pPr>
        </w:p>
        <w:p w:rsidR="00C64451" w:rsidRPr="00C52CE1" w:rsidRDefault="00C64451" w:rsidP="00C52CE1">
          <w:pPr>
            <w:pStyle w:val="NoSpacing"/>
            <w:spacing w:line="360" w:lineRule="auto"/>
            <w:jc w:val="both"/>
            <w:rPr>
              <w:rFonts w:asciiTheme="majorHAnsi" w:eastAsiaTheme="majorEastAsia" w:hAnsiTheme="majorHAnsi" w:cstheme="majorBidi"/>
              <w:sz w:val="24"/>
              <w:szCs w:val="24"/>
            </w:rPr>
          </w:pPr>
          <w:r w:rsidRPr="00C52CE1">
            <w:rPr>
              <w:rFonts w:asciiTheme="majorHAnsi" w:eastAsia="Calibri" w:hAnsiTheme="majorHAnsi" w:cs="Calibri"/>
              <w:sz w:val="24"/>
              <w:szCs w:val="24"/>
            </w:rPr>
            <w:t xml:space="preserve">In April 2001, Liberia was among Heads of State and Governments of the African Union (AU) Member states </w:t>
          </w:r>
          <w:r w:rsidR="00A04418" w:rsidRPr="00C52CE1">
            <w:rPr>
              <w:rFonts w:asciiTheme="majorHAnsi" w:eastAsia="Calibri" w:hAnsiTheme="majorHAnsi" w:cs="Calibri"/>
              <w:sz w:val="24"/>
              <w:szCs w:val="24"/>
            </w:rPr>
            <w:t xml:space="preserve">who </w:t>
          </w:r>
          <w:r w:rsidRPr="00C52CE1">
            <w:rPr>
              <w:rFonts w:asciiTheme="majorHAnsi" w:eastAsia="Calibri" w:hAnsiTheme="majorHAnsi" w:cs="Calibri"/>
              <w:sz w:val="24"/>
              <w:szCs w:val="24"/>
            </w:rPr>
            <w:t>met in Abuja and committed to allocate 15% of their National Budget to the Health Sector. This commitment was re-affirmed at a Special Summit in 2006 and at the 15th Session of the Ordinary AU Assembly in July 2010.</w:t>
          </w:r>
        </w:p>
        <w:p w:rsidR="005F6AE3" w:rsidRPr="00AF4EC5" w:rsidRDefault="005F6AE3" w:rsidP="00A3665C">
          <w:pPr>
            <w:pStyle w:val="NoSpacing"/>
            <w:spacing w:line="360" w:lineRule="auto"/>
            <w:rPr>
              <w:rFonts w:asciiTheme="majorHAnsi" w:eastAsiaTheme="majorEastAsia" w:hAnsiTheme="majorHAnsi" w:cstheme="majorBidi"/>
              <w:sz w:val="10"/>
              <w:szCs w:val="24"/>
            </w:rPr>
          </w:pPr>
        </w:p>
        <w:p w:rsidR="001B1C2A" w:rsidRPr="00AF4EC5" w:rsidRDefault="001B1C2A" w:rsidP="00AF4EC5">
          <w:pPr>
            <w:pStyle w:val="NoSpacing"/>
            <w:spacing w:line="360" w:lineRule="auto"/>
            <w:jc w:val="both"/>
            <w:rPr>
              <w:rFonts w:asciiTheme="majorHAnsi" w:hAnsiTheme="majorHAnsi"/>
              <w:sz w:val="24"/>
              <w:szCs w:val="24"/>
            </w:rPr>
          </w:pPr>
          <w:r w:rsidRPr="00AF4EC5">
            <w:rPr>
              <w:rFonts w:asciiTheme="majorHAnsi" w:hAnsiTheme="majorHAnsi"/>
              <w:sz w:val="24"/>
              <w:szCs w:val="24"/>
            </w:rPr>
            <w:t xml:space="preserve">The Universal Declaration of Human Rights which Liberia is a party to in its </w:t>
          </w:r>
          <w:r w:rsidRPr="00AF4EC5">
            <w:rPr>
              <w:rFonts w:asciiTheme="majorHAnsi" w:hAnsiTheme="majorHAnsi"/>
              <w:i/>
              <w:sz w:val="24"/>
              <w:szCs w:val="24"/>
            </w:rPr>
            <w:t xml:space="preserve">Article 26 proclaims </w:t>
          </w:r>
          <w:r w:rsidRPr="00AF4EC5">
            <w:rPr>
              <w:rFonts w:asciiTheme="majorHAnsi" w:hAnsiTheme="majorHAnsi"/>
              <w:sz w:val="24"/>
              <w:szCs w:val="24"/>
            </w:rPr>
            <w:t xml:space="preserve">that everyone has the right to education, calls for education at the elementary and fundamental stages to be free and compulsory, while technical and professional </w:t>
          </w:r>
          <w:r w:rsidRPr="00AF4EC5">
            <w:rPr>
              <w:rFonts w:asciiTheme="majorHAnsi" w:hAnsiTheme="majorHAnsi"/>
              <w:sz w:val="24"/>
              <w:szCs w:val="24"/>
            </w:rPr>
            <w:lastRenderedPageBreak/>
            <w:t xml:space="preserve">education shall be made generally available and higher education </w:t>
          </w:r>
          <w:r w:rsidR="00146C3E" w:rsidRPr="00AF4EC5">
            <w:rPr>
              <w:rFonts w:asciiTheme="majorHAnsi" w:hAnsiTheme="majorHAnsi"/>
              <w:sz w:val="24"/>
              <w:szCs w:val="24"/>
            </w:rPr>
            <w:t>shall be</w:t>
          </w:r>
          <w:r w:rsidRPr="00AF4EC5">
            <w:rPr>
              <w:rFonts w:asciiTheme="majorHAnsi" w:hAnsiTheme="majorHAnsi"/>
              <w:sz w:val="24"/>
              <w:szCs w:val="24"/>
            </w:rPr>
            <w:t xml:space="preserve"> equally accessible to all on the basis of merit. Also, education shall be directed to the full development of the human personality and to the strengthening of respect for human rights and fundamental freedoms. Additionally, Liberia is a party to the </w:t>
          </w:r>
          <w:r w:rsidRPr="00AF4EC5">
            <w:rPr>
              <w:rFonts w:asciiTheme="majorHAnsi" w:hAnsiTheme="majorHAnsi" w:cs="Arial"/>
              <w:b/>
              <w:sz w:val="24"/>
              <w:szCs w:val="24"/>
            </w:rPr>
            <w:t>Convention on the Rights of the Child</w:t>
          </w:r>
          <w:r w:rsidRPr="00AF4EC5">
            <w:rPr>
              <w:rFonts w:asciiTheme="majorHAnsi" w:hAnsiTheme="majorHAnsi" w:cs="Arial"/>
              <w:sz w:val="24"/>
              <w:szCs w:val="24"/>
            </w:rPr>
            <w:t xml:space="preserve"> (</w:t>
          </w:r>
          <w:r w:rsidRPr="00AF4EC5">
            <w:rPr>
              <w:rFonts w:asciiTheme="majorHAnsi" w:hAnsiTheme="majorHAnsi" w:cs="Arial"/>
              <w:b/>
              <w:sz w:val="24"/>
              <w:szCs w:val="24"/>
            </w:rPr>
            <w:t>CRC). The CRC</w:t>
          </w:r>
          <w:r w:rsidRPr="00AF4EC5">
            <w:rPr>
              <w:rFonts w:asciiTheme="majorHAnsi" w:hAnsiTheme="majorHAnsi" w:cs="Arial"/>
              <w:sz w:val="24"/>
              <w:szCs w:val="24"/>
            </w:rPr>
            <w:t xml:space="preserve"> recognizes the right of the child to </w:t>
          </w:r>
          <w:r w:rsidRPr="00AF4EC5">
            <w:rPr>
              <w:rFonts w:asciiTheme="majorHAnsi" w:hAnsiTheme="majorHAnsi" w:cs="Arial"/>
              <w:b/>
              <w:bCs/>
              <w:sz w:val="24"/>
              <w:szCs w:val="24"/>
            </w:rPr>
            <w:t>education</w:t>
          </w:r>
          <w:r w:rsidRPr="00AF4EC5">
            <w:rPr>
              <w:rFonts w:asciiTheme="majorHAnsi" w:hAnsiTheme="majorHAnsi" w:cs="Arial"/>
              <w:sz w:val="24"/>
              <w:szCs w:val="24"/>
            </w:rPr>
            <w:t xml:space="preserve">, and progressively countries shall, in particular: (a) Make primary education compulsory and available free to all; (article 28). Also </w:t>
          </w:r>
          <w:r w:rsidRPr="00AF4EC5">
            <w:rPr>
              <w:rFonts w:asciiTheme="majorHAnsi" w:hAnsiTheme="majorHAnsi" w:cs="Arial"/>
              <w:b/>
              <w:bCs/>
              <w:sz w:val="24"/>
              <w:szCs w:val="24"/>
            </w:rPr>
            <w:t>Dakar Framework for Action, Education for All, April 2000, goal 4 calls for</w:t>
          </w:r>
          <w:r w:rsidRPr="00AF4EC5">
            <w:rPr>
              <w:rFonts w:asciiTheme="majorHAnsi" w:hAnsiTheme="majorHAnsi" w:cs="Arial"/>
              <w:iCs/>
              <w:sz w:val="24"/>
              <w:szCs w:val="24"/>
            </w:rPr>
            <w:t xml:space="preserve"> “</w:t>
          </w:r>
          <w:r w:rsidR="00F326F4" w:rsidRPr="00AF4EC5">
            <w:rPr>
              <w:rFonts w:asciiTheme="majorHAnsi" w:hAnsiTheme="majorHAnsi" w:cs="Arial"/>
              <w:iCs/>
              <w:sz w:val="24"/>
              <w:szCs w:val="24"/>
            </w:rPr>
            <w:t>Double adult</w:t>
          </w:r>
          <w:r w:rsidRPr="00AF4EC5">
            <w:rPr>
              <w:rFonts w:asciiTheme="majorHAnsi" w:hAnsiTheme="majorHAnsi" w:cs="Arial"/>
              <w:iCs/>
              <w:sz w:val="24"/>
              <w:szCs w:val="24"/>
            </w:rPr>
            <w:t xml:space="preserve"> literacy</w:t>
          </w:r>
          <w:r w:rsidRPr="00AF4EC5">
            <w:rPr>
              <w:rFonts w:asciiTheme="majorHAnsi" w:hAnsiTheme="majorHAnsi" w:cs="Arial"/>
              <w:sz w:val="24"/>
              <w:szCs w:val="24"/>
            </w:rPr>
            <w:t>, especially for women, and achieve equitable access to basic and continuing education for adults by 2015”</w:t>
          </w:r>
          <w:r w:rsidR="00AF4EC5">
            <w:rPr>
              <w:rFonts w:asciiTheme="majorHAnsi" w:hAnsiTheme="majorHAnsi" w:cs="Arial"/>
              <w:sz w:val="24"/>
              <w:szCs w:val="24"/>
            </w:rPr>
            <w:t>.</w:t>
          </w:r>
          <w:r w:rsidRPr="00AF4EC5">
            <w:rPr>
              <w:rFonts w:asciiTheme="majorHAnsi" w:hAnsiTheme="majorHAnsi" w:cs="Arial"/>
              <w:sz w:val="24"/>
              <w:szCs w:val="24"/>
            </w:rPr>
            <w:t xml:space="preserve"> </w:t>
          </w:r>
        </w:p>
        <w:p w:rsidR="008378CA" w:rsidRPr="00A3665C" w:rsidRDefault="008378CA" w:rsidP="00A3665C">
          <w:pPr>
            <w:pStyle w:val="NoSpacing"/>
            <w:spacing w:line="360" w:lineRule="auto"/>
            <w:rPr>
              <w:rFonts w:asciiTheme="majorHAnsi" w:eastAsiaTheme="majorEastAsia" w:hAnsiTheme="majorHAnsi" w:cstheme="majorBidi"/>
              <w:sz w:val="24"/>
              <w:szCs w:val="24"/>
            </w:rPr>
          </w:pPr>
        </w:p>
        <w:p w:rsidR="00F2708C" w:rsidRPr="00A72147" w:rsidRDefault="00460B28" w:rsidP="00A72147">
          <w:pPr>
            <w:pStyle w:val="NoSpacing"/>
            <w:shd w:val="clear" w:color="auto" w:fill="4F81BD" w:themeFill="accent1"/>
            <w:spacing w:line="360" w:lineRule="auto"/>
            <w:rPr>
              <w:rFonts w:asciiTheme="majorHAnsi" w:eastAsiaTheme="majorEastAsia" w:hAnsiTheme="majorHAnsi" w:cstheme="majorBidi"/>
              <w:b/>
              <w:color w:val="FFFFFF" w:themeColor="background1"/>
              <w:sz w:val="24"/>
              <w:szCs w:val="24"/>
            </w:rPr>
          </w:pPr>
          <w:r w:rsidRPr="00A72147">
            <w:rPr>
              <w:rFonts w:asciiTheme="majorHAnsi" w:eastAsiaTheme="majorEastAsia" w:hAnsiTheme="majorHAnsi" w:cstheme="majorBidi"/>
              <w:b/>
              <w:color w:val="FFFFFF" w:themeColor="background1"/>
              <w:sz w:val="24"/>
              <w:szCs w:val="24"/>
            </w:rPr>
            <w:t>Problems</w:t>
          </w:r>
          <w:r w:rsidR="00F2708C" w:rsidRPr="00A72147">
            <w:rPr>
              <w:rFonts w:asciiTheme="majorHAnsi" w:eastAsiaTheme="majorEastAsia" w:hAnsiTheme="majorHAnsi" w:cstheme="majorBidi"/>
              <w:b/>
              <w:color w:val="FFFFFF" w:themeColor="background1"/>
              <w:sz w:val="24"/>
              <w:szCs w:val="24"/>
            </w:rPr>
            <w:t>:</w:t>
          </w:r>
        </w:p>
        <w:p w:rsidR="000A2E94" w:rsidRDefault="000A2E94" w:rsidP="00AB33A0">
          <w:pPr>
            <w:pStyle w:val="NoSpacing"/>
            <w:spacing w:line="36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This investigation has established the problem into the three areas of the policy brief scope including A. water, sanitation and hygiene, B. Health and C. Education. The problems under each area identified key challenges, access levels etc. </w:t>
          </w:r>
        </w:p>
        <w:p w:rsidR="001D3624" w:rsidRPr="000A2E94" w:rsidRDefault="00F2708C" w:rsidP="000A2E94">
          <w:pPr>
            <w:pStyle w:val="NoSpacing"/>
            <w:shd w:val="clear" w:color="auto" w:fill="4F81BD" w:themeFill="accent1"/>
            <w:spacing w:line="360" w:lineRule="auto"/>
            <w:rPr>
              <w:rFonts w:asciiTheme="majorHAnsi" w:eastAsiaTheme="majorEastAsia" w:hAnsiTheme="majorHAnsi" w:cstheme="majorBidi"/>
              <w:b/>
              <w:color w:val="FFFFFF" w:themeColor="background1"/>
              <w:sz w:val="24"/>
              <w:szCs w:val="24"/>
            </w:rPr>
          </w:pPr>
          <w:r w:rsidRPr="000A2E94">
            <w:rPr>
              <w:rFonts w:asciiTheme="majorHAnsi" w:eastAsiaTheme="majorEastAsia" w:hAnsiTheme="majorHAnsi" w:cstheme="majorBidi"/>
              <w:b/>
              <w:color w:val="FFFFFF" w:themeColor="background1"/>
              <w:sz w:val="24"/>
              <w:szCs w:val="24"/>
            </w:rPr>
            <w:t xml:space="preserve">A. Water, Sanitation and Hygiene </w:t>
          </w:r>
          <w:r w:rsidR="00460B28" w:rsidRPr="000A2E94">
            <w:rPr>
              <w:rFonts w:asciiTheme="majorHAnsi" w:eastAsiaTheme="majorEastAsia" w:hAnsiTheme="majorHAnsi" w:cstheme="majorBidi"/>
              <w:b/>
              <w:color w:val="FFFFFF" w:themeColor="background1"/>
              <w:sz w:val="24"/>
              <w:szCs w:val="24"/>
            </w:rPr>
            <w:t xml:space="preserve"> </w:t>
          </w:r>
        </w:p>
        <w:p w:rsidR="00F2708C" w:rsidRPr="00AB33A0" w:rsidRDefault="00E67184" w:rsidP="00AB33A0">
          <w:pPr>
            <w:pStyle w:val="NoSpacing"/>
            <w:spacing w:line="360" w:lineRule="auto"/>
            <w:jc w:val="both"/>
            <w:rPr>
              <w:rFonts w:asciiTheme="majorHAnsi" w:hAnsiTheme="majorHAnsi" w:cs="Calibri"/>
              <w:sz w:val="24"/>
              <w:szCs w:val="24"/>
              <w:lang w:val="en-GB"/>
            </w:rPr>
          </w:pPr>
          <w:r w:rsidRPr="00AB33A0">
            <w:rPr>
              <w:rFonts w:asciiTheme="majorHAnsi" w:hAnsiTheme="majorHAnsi" w:cs="Calibri"/>
              <w:sz w:val="24"/>
              <w:szCs w:val="24"/>
            </w:rPr>
            <w:t>T</w:t>
          </w:r>
          <w:r w:rsidR="00F2708C" w:rsidRPr="00AB33A0">
            <w:rPr>
              <w:rFonts w:asciiTheme="majorHAnsi" w:hAnsiTheme="majorHAnsi" w:cs="Calibri"/>
              <w:sz w:val="24"/>
              <w:szCs w:val="24"/>
            </w:rPr>
            <w:t xml:space="preserve">he already weak WASH infrastructure in Liberia suffered deep destruction and collapse in many areas during the civil war. In </w:t>
          </w:r>
          <w:r w:rsidR="00F2708C" w:rsidRPr="00AB33A0">
            <w:rPr>
              <w:rFonts w:asciiTheme="majorHAnsi" w:hAnsiTheme="majorHAnsi" w:cs="Calibri"/>
              <w:sz w:val="24"/>
              <w:szCs w:val="24"/>
              <w:lang w:val="en-GB"/>
            </w:rPr>
            <w:t>Monrovia for instance household connections to piped water have fallen to one tenth of pre-conflict levels. Since 2003 there has been some recovery, and it is now estimated that 62% of the Liberian population have access to protected water sources. These are mainly hand dug wells or boreholes with hand pumps, as well as springs and harvested rainwater. Only a third of the population has access to water sources with adequate yield all year round. The problem of water source is compounded by unsafe storage practices, with an estimated 63% of households storing water in open containers, risking contamination</w:t>
          </w:r>
          <w:r w:rsidRPr="00AB33A0">
            <w:rPr>
              <w:rFonts w:asciiTheme="majorHAnsi" w:hAnsiTheme="majorHAnsi" w:cs="Calibri"/>
              <w:sz w:val="24"/>
              <w:szCs w:val="24"/>
              <w:lang w:val="en-GB"/>
            </w:rPr>
            <w:t xml:space="preserve"> (consolidated draft PRS II)</w:t>
          </w:r>
          <w:r w:rsidR="00F2708C" w:rsidRPr="00AB33A0">
            <w:rPr>
              <w:rFonts w:asciiTheme="majorHAnsi" w:hAnsiTheme="majorHAnsi" w:cs="Calibri"/>
              <w:sz w:val="24"/>
              <w:szCs w:val="24"/>
              <w:lang w:val="en-GB"/>
            </w:rPr>
            <w:t>.</w:t>
          </w:r>
        </w:p>
        <w:p w:rsidR="00F2708C" w:rsidRPr="00130A80" w:rsidRDefault="00F2708C" w:rsidP="00AB33A0">
          <w:pPr>
            <w:pStyle w:val="NoSpacing"/>
            <w:spacing w:line="360" w:lineRule="auto"/>
            <w:jc w:val="both"/>
            <w:rPr>
              <w:rFonts w:asciiTheme="majorHAnsi" w:hAnsiTheme="majorHAnsi" w:cs="Calibri"/>
              <w:sz w:val="8"/>
              <w:szCs w:val="24"/>
              <w:lang w:val="en-GB"/>
            </w:rPr>
          </w:pPr>
        </w:p>
        <w:p w:rsidR="00F2708C" w:rsidRPr="00AB33A0" w:rsidRDefault="00F2708C" w:rsidP="00AB33A0">
          <w:pPr>
            <w:pStyle w:val="NoSpacing"/>
            <w:spacing w:line="360" w:lineRule="auto"/>
            <w:jc w:val="both"/>
            <w:rPr>
              <w:rFonts w:asciiTheme="majorHAnsi" w:hAnsiTheme="majorHAnsi" w:cs="Calibri"/>
              <w:sz w:val="24"/>
              <w:szCs w:val="24"/>
              <w:lang w:val="en-GB"/>
            </w:rPr>
          </w:pPr>
          <w:r w:rsidRPr="00AB33A0">
            <w:rPr>
              <w:rFonts w:asciiTheme="majorHAnsi" w:hAnsiTheme="majorHAnsi" w:cs="Calibri"/>
              <w:sz w:val="24"/>
              <w:szCs w:val="24"/>
              <w:lang w:val="en-GB"/>
            </w:rPr>
            <w:t xml:space="preserve">The situation for sanitation is worse, with only 25% of households (53% urban and 17% rural) having access to improved sanitation. This threatens the gains from access to protected water sources. The prevalence of open defecation (77% of rural households and 30% of urban households); and lack of solid waste disposal or sewerage systems, poor drainage, poor disposal of garbage; all pose contamination threats for drinking water. This has intensified the sense of squalor and poor quality of life, particularly for Liberians living </w:t>
          </w:r>
          <w:r w:rsidRPr="00AB33A0">
            <w:rPr>
              <w:rFonts w:asciiTheme="majorHAnsi" w:hAnsiTheme="majorHAnsi" w:cs="Calibri"/>
              <w:sz w:val="24"/>
              <w:szCs w:val="24"/>
              <w:lang w:val="en-GB"/>
            </w:rPr>
            <w:lastRenderedPageBreak/>
            <w:t xml:space="preserve">in urban slum areas. Also 43% of households in Liberia do not practice hand washing with soap, whilst 62% do not wash hands after using the toilet and a further 68% reported that they do not wash hands before eating. These trends put the health of communities at risk (especially under-5 children and the elderly) and erode the quality of life for Liberians through the following: lack of clean water for drinking and personal hygiene; the debilitating impact of water-borne diseases; the time spent (by women and girls) in fetching water from safe sources; and the general malaise of living in environmental squalor. </w:t>
          </w:r>
        </w:p>
        <w:p w:rsidR="00F2708C" w:rsidRPr="00AB33A0" w:rsidRDefault="00F2708C" w:rsidP="00AB33A0">
          <w:pPr>
            <w:pStyle w:val="NoSpacing"/>
            <w:spacing w:line="360" w:lineRule="auto"/>
            <w:jc w:val="both"/>
            <w:rPr>
              <w:rFonts w:asciiTheme="majorHAnsi" w:hAnsiTheme="majorHAnsi" w:cs="Arial"/>
              <w:sz w:val="6"/>
              <w:szCs w:val="24"/>
            </w:rPr>
          </w:pPr>
          <w:r w:rsidRPr="00AB33A0">
            <w:rPr>
              <w:rFonts w:asciiTheme="majorHAnsi" w:hAnsiTheme="majorHAnsi" w:cs="Arial"/>
              <w:sz w:val="24"/>
              <w:szCs w:val="24"/>
            </w:rPr>
            <w:t xml:space="preserve"> </w:t>
          </w:r>
        </w:p>
        <w:p w:rsidR="00F2708C" w:rsidRPr="00AB33A0" w:rsidRDefault="00F2708C" w:rsidP="00AB33A0">
          <w:pPr>
            <w:pStyle w:val="NoSpacing"/>
            <w:spacing w:line="360" w:lineRule="auto"/>
            <w:jc w:val="both"/>
            <w:rPr>
              <w:rFonts w:asciiTheme="majorHAnsi" w:hAnsiTheme="majorHAnsi" w:cs="Calibri"/>
              <w:sz w:val="24"/>
              <w:szCs w:val="24"/>
            </w:rPr>
          </w:pPr>
          <w:r w:rsidRPr="00AB33A0">
            <w:rPr>
              <w:rFonts w:asciiTheme="majorHAnsi" w:hAnsiTheme="majorHAnsi" w:cs="Calibri"/>
              <w:sz w:val="24"/>
              <w:szCs w:val="24"/>
            </w:rPr>
            <w:t>The national development agenda further, lack of financing for infrastructure investments has hindered improvement of water supply, waste disposal, garbage disposal and drainage. There is limited human resource and technical capacity in WASH, and there is no Board or similar body to coordinate the operations of the sector. Service coverage needs to be multi-dimensional so that advances in an area like water supply and sanitation (including solid waste) are not compromised by negative trends in other areas like solid waste disposal or hygiene behavior. Many communities are resistant to change of health habits and practices; they adhere to unsafe hygiene practices due to cultural traditions and lack of the means to change. When people lack clean water, soap or sanitation facilities, they find it difficult to change their hygiene behavior, even when they are aware of good practices.</w:t>
          </w:r>
        </w:p>
        <w:p w:rsidR="00F2708C" w:rsidRPr="00E73E72" w:rsidRDefault="00F2708C" w:rsidP="00AB33A0">
          <w:pPr>
            <w:pStyle w:val="NoSpacing"/>
            <w:spacing w:line="360" w:lineRule="auto"/>
            <w:jc w:val="both"/>
            <w:rPr>
              <w:rFonts w:asciiTheme="majorHAnsi" w:hAnsiTheme="majorHAnsi" w:cs="Arial"/>
              <w:sz w:val="10"/>
              <w:szCs w:val="24"/>
            </w:rPr>
          </w:pPr>
        </w:p>
        <w:p w:rsidR="00F2708C" w:rsidRDefault="00F2708C" w:rsidP="00AB33A0">
          <w:pPr>
            <w:pStyle w:val="NoSpacing"/>
            <w:spacing w:line="360" w:lineRule="auto"/>
            <w:jc w:val="both"/>
            <w:rPr>
              <w:rFonts w:asciiTheme="majorHAnsi" w:hAnsiTheme="majorHAnsi" w:cs="Arial"/>
              <w:sz w:val="24"/>
              <w:szCs w:val="24"/>
            </w:rPr>
          </w:pPr>
          <w:r w:rsidRPr="00AB33A0">
            <w:rPr>
              <w:rFonts w:asciiTheme="majorHAnsi" w:hAnsiTheme="majorHAnsi" w:cs="Arial"/>
              <w:sz w:val="24"/>
              <w:szCs w:val="24"/>
            </w:rPr>
            <w:t>Challenges are immense, according to the 2008 (WHO) statistics, over 80% of diarrheal diseases in Liberia are associated with contaminated drinking water and poor sanitation and hygiene.  According to the 2010 Joint Monitoring Program (JMP), in 2008, 64% of the population had access to an improved source of drinking water (72% urban and 52% of rural) and 17% had access to improved sanitation (excluding those with access to shared facilities). However, Liberia’s PRSP indicates that safe drinking water coverage was only 25% in 2008, only 14% had access to human waste collection and disposal facilities and 5% practiced safe hygiene. Sector stakeholders consider this data more realistic.</w:t>
          </w:r>
        </w:p>
        <w:p w:rsidR="008615CC" w:rsidRDefault="008615CC" w:rsidP="00AB33A0">
          <w:pPr>
            <w:pStyle w:val="NoSpacing"/>
            <w:spacing w:line="360" w:lineRule="auto"/>
            <w:jc w:val="both"/>
            <w:rPr>
              <w:rFonts w:asciiTheme="majorHAnsi" w:hAnsiTheme="majorHAnsi"/>
              <w:sz w:val="14"/>
              <w:szCs w:val="24"/>
            </w:rPr>
          </w:pPr>
        </w:p>
        <w:p w:rsidR="001F5B37" w:rsidRDefault="001F5B37" w:rsidP="00AB33A0">
          <w:pPr>
            <w:pStyle w:val="NoSpacing"/>
            <w:spacing w:line="360" w:lineRule="auto"/>
            <w:jc w:val="both"/>
            <w:rPr>
              <w:rFonts w:asciiTheme="majorHAnsi" w:hAnsiTheme="majorHAnsi"/>
              <w:sz w:val="14"/>
              <w:szCs w:val="24"/>
            </w:rPr>
          </w:pPr>
        </w:p>
        <w:p w:rsidR="001F5B37" w:rsidRDefault="001F5B37" w:rsidP="00AB33A0">
          <w:pPr>
            <w:pStyle w:val="NoSpacing"/>
            <w:spacing w:line="360" w:lineRule="auto"/>
            <w:jc w:val="both"/>
            <w:rPr>
              <w:rFonts w:asciiTheme="majorHAnsi" w:hAnsiTheme="majorHAnsi"/>
              <w:sz w:val="14"/>
              <w:szCs w:val="24"/>
            </w:rPr>
          </w:pPr>
        </w:p>
        <w:p w:rsidR="001F5B37" w:rsidRDefault="001F5B37" w:rsidP="00AB33A0">
          <w:pPr>
            <w:pStyle w:val="NoSpacing"/>
            <w:spacing w:line="360" w:lineRule="auto"/>
            <w:jc w:val="both"/>
            <w:rPr>
              <w:rFonts w:asciiTheme="majorHAnsi" w:hAnsiTheme="majorHAnsi"/>
              <w:sz w:val="14"/>
              <w:szCs w:val="24"/>
            </w:rPr>
          </w:pPr>
        </w:p>
        <w:p w:rsidR="001F5B37" w:rsidRDefault="001F5B37" w:rsidP="00AB33A0">
          <w:pPr>
            <w:pStyle w:val="NoSpacing"/>
            <w:spacing w:line="360" w:lineRule="auto"/>
            <w:jc w:val="both"/>
            <w:rPr>
              <w:rFonts w:asciiTheme="majorHAnsi" w:hAnsiTheme="majorHAnsi"/>
              <w:sz w:val="14"/>
              <w:szCs w:val="24"/>
            </w:rPr>
          </w:pPr>
        </w:p>
        <w:p w:rsidR="001F5B37" w:rsidRPr="008615CC" w:rsidRDefault="001F5B37" w:rsidP="00AB33A0">
          <w:pPr>
            <w:pStyle w:val="NoSpacing"/>
            <w:spacing w:line="360" w:lineRule="auto"/>
            <w:jc w:val="both"/>
            <w:rPr>
              <w:rFonts w:asciiTheme="majorHAnsi" w:hAnsiTheme="majorHAnsi"/>
              <w:sz w:val="14"/>
              <w:szCs w:val="24"/>
            </w:rPr>
          </w:pPr>
        </w:p>
        <w:p w:rsidR="00F2708C" w:rsidRDefault="00F2708C" w:rsidP="00F2708C">
          <w:pPr>
            <w:pStyle w:val="NoSpacing"/>
            <w:jc w:val="both"/>
            <w:rPr>
              <w:sz w:val="10"/>
              <w:szCs w:val="24"/>
            </w:rPr>
          </w:pPr>
        </w:p>
        <w:p w:rsidR="00A3665C" w:rsidRPr="008615CC" w:rsidRDefault="005F01A9" w:rsidP="008615CC">
          <w:pPr>
            <w:pStyle w:val="NoSpacing"/>
            <w:shd w:val="clear" w:color="auto" w:fill="4F81BD" w:themeFill="accent1"/>
            <w:spacing w:line="360" w:lineRule="auto"/>
            <w:rPr>
              <w:rFonts w:asciiTheme="majorHAnsi" w:eastAsiaTheme="majorEastAsia" w:hAnsiTheme="majorHAnsi" w:cstheme="majorBidi"/>
              <w:b/>
              <w:color w:val="FFFFFF" w:themeColor="background1"/>
              <w:sz w:val="24"/>
              <w:szCs w:val="24"/>
            </w:rPr>
          </w:pPr>
          <w:r>
            <w:rPr>
              <w:rFonts w:asciiTheme="majorHAnsi" w:eastAsiaTheme="majorEastAsia" w:hAnsiTheme="majorHAnsi" w:cstheme="majorBidi"/>
              <w:b/>
              <w:color w:val="FFFFFF" w:themeColor="background1"/>
              <w:sz w:val="24"/>
              <w:szCs w:val="24"/>
            </w:rPr>
            <w:lastRenderedPageBreak/>
            <w:t xml:space="preserve">B. </w:t>
          </w:r>
          <w:r w:rsidR="008615CC" w:rsidRPr="008615CC">
            <w:rPr>
              <w:rFonts w:asciiTheme="majorHAnsi" w:eastAsiaTheme="majorEastAsia" w:hAnsiTheme="majorHAnsi" w:cstheme="majorBidi"/>
              <w:b/>
              <w:color w:val="FFFFFF" w:themeColor="background1"/>
              <w:sz w:val="24"/>
              <w:szCs w:val="24"/>
            </w:rPr>
            <w:t xml:space="preserve">Health </w:t>
          </w:r>
        </w:p>
        <w:p w:rsidR="0002273A" w:rsidRPr="0002273A" w:rsidRDefault="0002273A" w:rsidP="0002273A">
          <w:pPr>
            <w:pStyle w:val="NoSpacing"/>
            <w:spacing w:line="360" w:lineRule="auto"/>
            <w:jc w:val="both"/>
            <w:rPr>
              <w:rFonts w:asciiTheme="majorHAnsi" w:hAnsiTheme="majorHAnsi"/>
              <w:sz w:val="24"/>
              <w:szCs w:val="24"/>
            </w:rPr>
          </w:pPr>
          <w:r w:rsidRPr="0002273A">
            <w:rPr>
              <w:rFonts w:asciiTheme="majorHAnsi" w:hAnsiTheme="majorHAnsi"/>
              <w:sz w:val="24"/>
              <w:szCs w:val="24"/>
            </w:rPr>
            <w:t xml:space="preserve">According to Liberia Demography Health Survey (LDHS 2007), four in five Liberia women receive some prenatal care from a medical professional, most commonly from a nurse/midwife (68%). Almost 60% begin prenatal care in the first trimester of pregnancy, as recommended and two-thirds have four or more prenatal care visits over the course of the pregnancy. </w:t>
          </w:r>
        </w:p>
        <w:p w:rsidR="0002273A" w:rsidRPr="0002273A" w:rsidRDefault="0002273A" w:rsidP="0002273A">
          <w:pPr>
            <w:pStyle w:val="NoSpacing"/>
            <w:spacing w:line="360" w:lineRule="auto"/>
            <w:jc w:val="both"/>
            <w:rPr>
              <w:rFonts w:asciiTheme="majorHAnsi" w:hAnsiTheme="majorHAnsi"/>
              <w:sz w:val="10"/>
              <w:szCs w:val="24"/>
            </w:rPr>
          </w:pPr>
        </w:p>
        <w:p w:rsidR="0002273A" w:rsidRPr="0002273A" w:rsidRDefault="0002273A" w:rsidP="0002273A">
          <w:pPr>
            <w:pStyle w:val="NoSpacing"/>
            <w:spacing w:line="360" w:lineRule="auto"/>
            <w:jc w:val="both"/>
            <w:rPr>
              <w:rFonts w:asciiTheme="majorHAnsi" w:hAnsiTheme="majorHAnsi"/>
              <w:sz w:val="24"/>
              <w:szCs w:val="24"/>
            </w:rPr>
          </w:pPr>
          <w:r w:rsidRPr="0002273A">
            <w:rPr>
              <w:rFonts w:asciiTheme="majorHAnsi" w:hAnsiTheme="majorHAnsi"/>
              <w:sz w:val="24"/>
              <w:szCs w:val="24"/>
            </w:rPr>
            <w:t xml:space="preserve">LDHS 2007 established that 63% of Liberia’s births occur at home, while 27% only take place in public sector health facilities and 10% in private sector health facilities. More educated women and women from wealthier households are most likely to deliver in a health facility. Just under half (46%) of births are assisted by a skilled heath worker which include doctor, nurse/midwife, or physician assistant, most commonly a nurse 41%. Almost half of births are assisted by a midwife. Taking a look at different regions, there are big disparities: 84% of women in Monrovia are most likely to be assisted by a skilled health worker while 31% of women in south eastern </w:t>
          </w:r>
          <w:r w:rsidRPr="0002273A">
            <w:rPr>
              <w:rFonts w:asciiTheme="majorHAnsi" w:hAnsiTheme="majorHAnsi"/>
              <w:b/>
              <w:sz w:val="24"/>
              <w:szCs w:val="24"/>
            </w:rPr>
            <w:t>B</w:t>
          </w:r>
          <w:r w:rsidRPr="0002273A">
            <w:rPr>
              <w:rFonts w:asciiTheme="majorHAnsi" w:hAnsiTheme="majorHAnsi"/>
              <w:sz w:val="24"/>
              <w:szCs w:val="24"/>
            </w:rPr>
            <w:t xml:space="preserve"> (Grand Kru, River Gee and Maryland) are least likely to have this assistance. </w:t>
          </w:r>
        </w:p>
        <w:p w:rsidR="0002273A" w:rsidRDefault="0002273A" w:rsidP="0002273A">
          <w:pPr>
            <w:pStyle w:val="NoSpacing"/>
            <w:jc w:val="both"/>
            <w:rPr>
              <w:sz w:val="24"/>
              <w:szCs w:val="24"/>
            </w:rPr>
          </w:pPr>
        </w:p>
        <w:p w:rsidR="00A73D51" w:rsidRDefault="00A73D51" w:rsidP="008F748E">
          <w:pPr>
            <w:pStyle w:val="NoSpacing"/>
            <w:spacing w:line="360" w:lineRule="auto"/>
            <w:jc w:val="both"/>
            <w:rPr>
              <w:rFonts w:asciiTheme="majorHAnsi" w:eastAsiaTheme="majorEastAsia" w:hAnsiTheme="majorHAnsi" w:cstheme="majorBidi"/>
              <w:sz w:val="24"/>
              <w:szCs w:val="24"/>
            </w:rPr>
          </w:pPr>
          <w:r w:rsidRPr="0089090D">
            <w:rPr>
              <w:rFonts w:asciiTheme="majorHAnsi" w:eastAsiaTheme="majorEastAsia" w:hAnsiTheme="majorHAnsi" w:cstheme="majorBidi"/>
              <w:sz w:val="28"/>
              <w:szCs w:val="28"/>
            </w:rPr>
            <w:t>Health Facilities:</w:t>
          </w:r>
          <w:r>
            <w:rPr>
              <w:rFonts w:asciiTheme="majorHAnsi" w:eastAsiaTheme="majorEastAsia" w:hAnsiTheme="majorHAnsi" w:cstheme="majorBidi"/>
              <w:sz w:val="24"/>
              <w:szCs w:val="24"/>
            </w:rPr>
            <w:t xml:space="preserve"> in 1990 there were 30 Hospitals, 50 Health centers and 330 clinics functional. In 2006, 18 hospitals, 50 health centers and close to 286 health clinics were considered to be functional (RAR, 2006). Many of these facilities struggle to attain acceptable performance levels,</w:t>
          </w:r>
          <w:r w:rsidR="008F748E">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and are in need of robust infrastructural interventions to become truly functional and respecting referral functions. The hospital component of the health sector is under- sized. Its technical capacity is grossly inadequate. Large invest</w:t>
          </w:r>
          <w:r w:rsidR="008F748E">
            <w:rPr>
              <w:rFonts w:asciiTheme="majorHAnsi" w:eastAsiaTheme="majorEastAsia" w:hAnsiTheme="majorHAnsi" w:cstheme="majorBidi"/>
              <w:sz w:val="24"/>
              <w:szCs w:val="24"/>
            </w:rPr>
            <w:t>ments are already under way to restore the functionality of some hospitals.</w:t>
          </w:r>
        </w:p>
        <w:p w:rsidR="008F748E" w:rsidRPr="00384E34" w:rsidRDefault="008F748E" w:rsidP="008F748E">
          <w:pPr>
            <w:pStyle w:val="NoSpacing"/>
            <w:spacing w:line="360" w:lineRule="auto"/>
            <w:jc w:val="both"/>
            <w:rPr>
              <w:rFonts w:asciiTheme="majorHAnsi" w:eastAsiaTheme="majorEastAsia" w:hAnsiTheme="majorHAnsi" w:cstheme="majorBidi"/>
              <w:sz w:val="10"/>
              <w:szCs w:val="24"/>
            </w:rPr>
          </w:pPr>
        </w:p>
        <w:p w:rsidR="008615CC" w:rsidRDefault="008F748E" w:rsidP="008A72F1">
          <w:pPr>
            <w:pStyle w:val="NoSpacing"/>
            <w:spacing w:line="360" w:lineRule="auto"/>
            <w:jc w:val="both"/>
            <w:rPr>
              <w:rFonts w:asciiTheme="majorHAnsi" w:eastAsiaTheme="majorEastAsia" w:hAnsiTheme="majorHAnsi" w:cstheme="majorBidi"/>
              <w:sz w:val="24"/>
              <w:szCs w:val="24"/>
            </w:rPr>
          </w:pPr>
          <w:r w:rsidRPr="0089090D">
            <w:rPr>
              <w:rFonts w:asciiTheme="majorHAnsi" w:eastAsiaTheme="majorEastAsia" w:hAnsiTheme="majorHAnsi" w:cstheme="majorBidi"/>
              <w:sz w:val="28"/>
              <w:szCs w:val="28"/>
            </w:rPr>
            <w:t>Financing</w:t>
          </w:r>
          <w:r w:rsidR="005467C4">
            <w:rPr>
              <w:rFonts w:asciiTheme="majorHAnsi" w:eastAsiaTheme="majorEastAsia" w:hAnsiTheme="majorHAnsi" w:cstheme="majorBidi"/>
              <w:sz w:val="28"/>
              <w:szCs w:val="28"/>
            </w:rPr>
            <w:t>:</w:t>
          </w:r>
          <w:r>
            <w:rPr>
              <w:rFonts w:asciiTheme="majorHAnsi" w:eastAsiaTheme="majorEastAsia" w:hAnsiTheme="majorHAnsi" w:cstheme="majorBidi"/>
              <w:sz w:val="24"/>
              <w:szCs w:val="24"/>
            </w:rPr>
            <w:t xml:space="preserve"> current total annual health care expenditure is estimated at about US$12 per head, but could</w:t>
          </w:r>
          <w:r w:rsidR="004A4DB1">
            <w:rPr>
              <w:rFonts w:asciiTheme="majorHAnsi" w:eastAsiaTheme="majorEastAsia" w:hAnsiTheme="majorHAnsi" w:cstheme="majorBidi"/>
              <w:sz w:val="24"/>
              <w:szCs w:val="24"/>
            </w:rPr>
            <w:t xml:space="preserve"> higher if private spending is included. </w:t>
          </w:r>
          <w:r w:rsidR="008A72F1">
            <w:rPr>
              <w:rFonts w:asciiTheme="majorHAnsi" w:eastAsiaTheme="majorEastAsia" w:hAnsiTheme="majorHAnsi" w:cstheme="majorBidi"/>
              <w:sz w:val="24"/>
              <w:szCs w:val="24"/>
            </w:rPr>
            <w:t>The state budget contribution to health is increasing (Msuya and sondorp, 2005) Most facilities supported by NGOs are proving services free of charge. Faith- based organizations (FBOs) usually raise user fees. Other facilities charge for services, often on an informal basis. No global estimate of private health expenditure is available.</w:t>
          </w:r>
        </w:p>
        <w:p w:rsidR="008A72F1" w:rsidRPr="00F4220B" w:rsidRDefault="008A72F1" w:rsidP="008A72F1">
          <w:pPr>
            <w:pStyle w:val="NoSpacing"/>
            <w:spacing w:line="360" w:lineRule="auto"/>
            <w:jc w:val="both"/>
            <w:rPr>
              <w:rFonts w:asciiTheme="majorHAnsi" w:eastAsiaTheme="majorEastAsia" w:hAnsiTheme="majorHAnsi" w:cstheme="majorBidi"/>
              <w:sz w:val="2"/>
              <w:szCs w:val="24"/>
            </w:rPr>
          </w:pPr>
        </w:p>
        <w:p w:rsidR="008615CC" w:rsidRDefault="008A72F1" w:rsidP="004E2477">
          <w:pPr>
            <w:pStyle w:val="NoSpacing"/>
            <w:spacing w:line="360" w:lineRule="auto"/>
            <w:jc w:val="both"/>
            <w:rPr>
              <w:rFonts w:asciiTheme="majorHAnsi" w:eastAsiaTheme="majorEastAsia" w:hAnsiTheme="majorHAnsi" w:cstheme="majorBidi"/>
              <w:sz w:val="24"/>
              <w:szCs w:val="24"/>
            </w:rPr>
          </w:pPr>
          <w:r w:rsidRPr="0089090D">
            <w:rPr>
              <w:rFonts w:asciiTheme="majorHAnsi" w:eastAsiaTheme="majorEastAsia" w:hAnsiTheme="majorHAnsi" w:cstheme="majorBidi"/>
              <w:sz w:val="28"/>
              <w:szCs w:val="28"/>
            </w:rPr>
            <w:lastRenderedPageBreak/>
            <w:t>Human Resources</w:t>
          </w:r>
          <w:r w:rsidR="0055451E">
            <w:rPr>
              <w:rFonts w:asciiTheme="majorHAnsi" w:eastAsiaTheme="majorEastAsia" w:hAnsiTheme="majorHAnsi" w:cstheme="majorBidi"/>
              <w:sz w:val="28"/>
              <w:szCs w:val="28"/>
            </w:rPr>
            <w:t>:</w:t>
          </w:r>
          <w:r>
            <w:rPr>
              <w:rFonts w:asciiTheme="majorHAnsi" w:eastAsiaTheme="majorEastAsia" w:hAnsiTheme="majorHAnsi" w:cstheme="majorBidi"/>
              <w:sz w:val="24"/>
              <w:szCs w:val="24"/>
            </w:rPr>
            <w:t xml:space="preserve"> According to the Rapid Assessment of the Health Situation in Liberia 2006, the workforce is composed of approxi8mately 4,000 </w:t>
          </w:r>
          <w:r w:rsidR="001D4BF1">
            <w:rPr>
              <w:rFonts w:asciiTheme="majorHAnsi" w:eastAsiaTheme="majorEastAsia" w:hAnsiTheme="majorHAnsi" w:cstheme="majorBidi"/>
              <w:sz w:val="24"/>
              <w:szCs w:val="24"/>
            </w:rPr>
            <w:t xml:space="preserve">full- time and 1,000 part- time staff. The distribution of trained health workers is </w:t>
          </w:r>
          <w:r w:rsidR="0017328C">
            <w:rPr>
              <w:rFonts w:asciiTheme="majorHAnsi" w:eastAsiaTheme="majorEastAsia" w:hAnsiTheme="majorHAnsi" w:cstheme="majorBidi"/>
              <w:sz w:val="24"/>
              <w:szCs w:val="24"/>
            </w:rPr>
            <w:t>grossly</w:t>
          </w:r>
          <w:r w:rsidR="001D4BF1">
            <w:rPr>
              <w:rFonts w:asciiTheme="majorHAnsi" w:eastAsiaTheme="majorEastAsia" w:hAnsiTheme="majorHAnsi" w:cstheme="majorBidi"/>
              <w:sz w:val="24"/>
              <w:szCs w:val="24"/>
            </w:rPr>
            <w:t xml:space="preserve"> imbalanced in favor urban aries and qualified professionals are scarce. Many health workers hold sub-standard qualifications, whose actual value shall be verified. Given modest service uptake, staff workloads are often low. Numerically, the work</w:t>
          </w:r>
          <w:r w:rsidR="004E2477">
            <w:rPr>
              <w:rFonts w:asciiTheme="majorHAnsi" w:eastAsiaTheme="majorEastAsia" w:hAnsiTheme="majorHAnsi" w:cstheme="majorBidi"/>
              <w:sz w:val="24"/>
              <w:szCs w:val="24"/>
            </w:rPr>
            <w:t>force appears adequate for the size of the health sector and the population to be served. However, analysis indicates 36% of the total work force is made up of health aides and traditional midwives. Human resources must be strengthened in terms of skills, appropriateness and productivity</w:t>
          </w:r>
          <w:r w:rsidR="00460491">
            <w:rPr>
              <w:rFonts w:asciiTheme="majorHAnsi" w:eastAsiaTheme="majorEastAsia" w:hAnsiTheme="majorHAnsi" w:cstheme="majorBidi"/>
              <w:sz w:val="24"/>
              <w:szCs w:val="24"/>
            </w:rPr>
            <w:t xml:space="preserve">. </w:t>
          </w:r>
        </w:p>
        <w:p w:rsidR="00460491" w:rsidRPr="00F4220B" w:rsidRDefault="00460491" w:rsidP="004E2477">
          <w:pPr>
            <w:pStyle w:val="NoSpacing"/>
            <w:spacing w:line="360" w:lineRule="auto"/>
            <w:jc w:val="both"/>
            <w:rPr>
              <w:rFonts w:asciiTheme="majorHAnsi" w:eastAsiaTheme="majorEastAsia" w:hAnsiTheme="majorHAnsi" w:cstheme="majorBidi"/>
              <w:sz w:val="2"/>
              <w:szCs w:val="24"/>
            </w:rPr>
          </w:pPr>
        </w:p>
        <w:p w:rsidR="008615CC" w:rsidRDefault="00460491" w:rsidP="001876EA">
          <w:pPr>
            <w:pStyle w:val="NoSpacing"/>
            <w:spacing w:line="360" w:lineRule="auto"/>
            <w:jc w:val="both"/>
            <w:rPr>
              <w:rFonts w:asciiTheme="majorHAnsi" w:eastAsiaTheme="majorEastAsia" w:hAnsiTheme="majorHAnsi" w:cstheme="majorBidi"/>
              <w:sz w:val="24"/>
              <w:szCs w:val="24"/>
            </w:rPr>
          </w:pPr>
          <w:r w:rsidRPr="0089090D">
            <w:rPr>
              <w:rFonts w:asciiTheme="majorHAnsi" w:eastAsiaTheme="majorEastAsia" w:hAnsiTheme="majorHAnsi" w:cstheme="majorBidi"/>
              <w:sz w:val="28"/>
              <w:szCs w:val="28"/>
            </w:rPr>
            <w:t>Drugs</w:t>
          </w:r>
          <w:r w:rsidR="00384E34">
            <w:rPr>
              <w:rFonts w:asciiTheme="majorHAnsi" w:eastAsiaTheme="majorEastAsia" w:hAnsiTheme="majorHAnsi" w:cstheme="majorBidi"/>
              <w:sz w:val="28"/>
              <w:szCs w:val="28"/>
            </w:rPr>
            <w:t>:</w:t>
          </w:r>
          <w:r>
            <w:rPr>
              <w:rFonts w:asciiTheme="majorHAnsi" w:eastAsiaTheme="majorEastAsia" w:hAnsiTheme="majorHAnsi" w:cstheme="majorBidi"/>
              <w:sz w:val="24"/>
              <w:szCs w:val="24"/>
            </w:rPr>
            <w:t xml:space="preserve"> Drugs procurement is mainly paid by emergency funds. The National Drugs service (NDS) is an autonomous, publicly- owned agency, mandated to supply the health sectors with medicines and other critical health commodities. Regulation is deficient and private dealers freely import, distribu</w:t>
          </w:r>
          <w:r w:rsidR="00DE6C0B">
            <w:rPr>
              <w:rFonts w:asciiTheme="majorHAnsi" w:eastAsiaTheme="majorEastAsia" w:hAnsiTheme="majorHAnsi" w:cstheme="majorBidi"/>
              <w:sz w:val="24"/>
              <w:szCs w:val="24"/>
            </w:rPr>
            <w:t>te and sell medicines. Reportedly, the circulation of counterfeit, sub-standard and expired medici</w:t>
          </w:r>
          <w:r w:rsidR="001876EA">
            <w:rPr>
              <w:rFonts w:asciiTheme="majorHAnsi" w:eastAsiaTheme="majorEastAsia" w:hAnsiTheme="majorHAnsi" w:cstheme="majorBidi"/>
              <w:sz w:val="24"/>
              <w:szCs w:val="24"/>
            </w:rPr>
            <w:t>nes is considerable. In 2001, the Ministry has issued a National Drug policy (NDP) whose provisions have not been fully implemented. A national Essential Drugs List exists that calls for review.</w:t>
          </w:r>
        </w:p>
        <w:p w:rsidR="0050710C" w:rsidRPr="00F4220B" w:rsidRDefault="0050710C" w:rsidP="001876EA">
          <w:pPr>
            <w:pStyle w:val="NoSpacing"/>
            <w:spacing w:line="360" w:lineRule="auto"/>
            <w:jc w:val="both"/>
            <w:rPr>
              <w:rFonts w:asciiTheme="majorHAnsi" w:eastAsiaTheme="majorEastAsia" w:hAnsiTheme="majorHAnsi" w:cstheme="majorBidi"/>
              <w:sz w:val="8"/>
              <w:szCs w:val="24"/>
            </w:rPr>
          </w:pPr>
        </w:p>
        <w:p w:rsidR="008615CC" w:rsidRPr="008615CC" w:rsidRDefault="005F01A9" w:rsidP="008615CC">
          <w:pPr>
            <w:pStyle w:val="NoSpacing"/>
            <w:shd w:val="clear" w:color="auto" w:fill="4F81BD" w:themeFill="accent1"/>
            <w:spacing w:line="360" w:lineRule="auto"/>
            <w:rPr>
              <w:rFonts w:asciiTheme="majorHAnsi" w:eastAsiaTheme="majorEastAsia" w:hAnsiTheme="majorHAnsi" w:cstheme="majorBidi"/>
              <w:b/>
              <w:color w:val="FFFFFF" w:themeColor="background1"/>
              <w:sz w:val="24"/>
              <w:szCs w:val="24"/>
            </w:rPr>
          </w:pPr>
          <w:r>
            <w:rPr>
              <w:rFonts w:asciiTheme="majorHAnsi" w:eastAsiaTheme="majorEastAsia" w:hAnsiTheme="majorHAnsi" w:cstheme="majorBidi"/>
              <w:b/>
              <w:color w:val="FFFFFF" w:themeColor="background1"/>
              <w:sz w:val="24"/>
              <w:szCs w:val="24"/>
            </w:rPr>
            <w:t xml:space="preserve">C. </w:t>
          </w:r>
          <w:r w:rsidR="008615CC" w:rsidRPr="008615CC">
            <w:rPr>
              <w:rFonts w:asciiTheme="majorHAnsi" w:eastAsiaTheme="majorEastAsia" w:hAnsiTheme="majorHAnsi" w:cstheme="majorBidi"/>
              <w:b/>
              <w:color w:val="FFFFFF" w:themeColor="background1"/>
              <w:sz w:val="24"/>
              <w:szCs w:val="24"/>
            </w:rPr>
            <w:t xml:space="preserve">Education </w:t>
          </w:r>
        </w:p>
        <w:p w:rsidR="00F0012C" w:rsidRPr="00F0012C" w:rsidRDefault="00F0012C" w:rsidP="00F0012C">
          <w:pPr>
            <w:pStyle w:val="NoSpacing"/>
            <w:spacing w:line="360" w:lineRule="auto"/>
            <w:jc w:val="both"/>
            <w:rPr>
              <w:rFonts w:asciiTheme="majorHAnsi" w:hAnsiTheme="majorHAnsi"/>
              <w:sz w:val="24"/>
              <w:szCs w:val="24"/>
            </w:rPr>
          </w:pPr>
          <w:r w:rsidRPr="00F0012C">
            <w:rPr>
              <w:rFonts w:asciiTheme="majorHAnsi" w:hAnsiTheme="majorHAnsi"/>
              <w:sz w:val="24"/>
              <w:szCs w:val="24"/>
            </w:rPr>
            <w:t>The Poverty Reduction Strategy (PRS</w:t>
          </w:r>
          <w:r w:rsidR="009600C1">
            <w:rPr>
              <w:rFonts w:asciiTheme="majorHAnsi" w:hAnsiTheme="majorHAnsi"/>
              <w:sz w:val="24"/>
              <w:szCs w:val="24"/>
            </w:rPr>
            <w:t xml:space="preserve"> I 2008-2011</w:t>
          </w:r>
          <w:r w:rsidRPr="00F0012C">
            <w:rPr>
              <w:rFonts w:asciiTheme="majorHAnsi" w:hAnsiTheme="majorHAnsi"/>
              <w:sz w:val="24"/>
              <w:szCs w:val="24"/>
            </w:rPr>
            <w:t xml:space="preserve">) acknowledged that Liberia’s education system is becoming improved, but remains weak. About 70% of schools were damaged or destroyed during the war, and most schools lack books and other basic equipments. Many teachers have little or no training, and teachers’ attendance is low, at least partly due to low wages. In addition there are substantial urban-rural differentials in education. There is little differential by gender in net primary enrolment (38% male to 37% female) and secondary school enrolment (16% male to 14% female) </w:t>
          </w:r>
        </w:p>
        <w:p w:rsidR="00F0012C" w:rsidRPr="00F4220B" w:rsidRDefault="00F0012C" w:rsidP="00F0012C">
          <w:pPr>
            <w:pStyle w:val="NoSpacing"/>
            <w:spacing w:line="360" w:lineRule="auto"/>
            <w:jc w:val="both"/>
            <w:rPr>
              <w:rFonts w:asciiTheme="majorHAnsi" w:hAnsiTheme="majorHAnsi"/>
              <w:sz w:val="4"/>
              <w:szCs w:val="24"/>
            </w:rPr>
          </w:pPr>
        </w:p>
        <w:p w:rsidR="00F0012C" w:rsidRPr="00F0012C" w:rsidRDefault="00F0012C" w:rsidP="00F0012C">
          <w:pPr>
            <w:pStyle w:val="NoSpacing"/>
            <w:spacing w:line="360" w:lineRule="auto"/>
            <w:jc w:val="both"/>
            <w:rPr>
              <w:rFonts w:asciiTheme="majorHAnsi" w:hAnsiTheme="majorHAnsi"/>
              <w:sz w:val="24"/>
              <w:szCs w:val="24"/>
            </w:rPr>
          </w:pPr>
          <w:r w:rsidRPr="00F0012C">
            <w:rPr>
              <w:rFonts w:asciiTheme="majorHAnsi" w:hAnsiTheme="majorHAnsi"/>
              <w:sz w:val="24"/>
              <w:szCs w:val="24"/>
            </w:rPr>
            <w:t>Inspire of this gains among youths, the Poverty Reduction Strategy (PRS</w:t>
          </w:r>
          <w:r w:rsidR="00FA0A85">
            <w:rPr>
              <w:rFonts w:asciiTheme="majorHAnsi" w:hAnsiTheme="majorHAnsi"/>
              <w:sz w:val="24"/>
              <w:szCs w:val="24"/>
            </w:rPr>
            <w:t xml:space="preserve"> I 2008-2011</w:t>
          </w:r>
          <w:r w:rsidRPr="00F0012C">
            <w:rPr>
              <w:rFonts w:asciiTheme="majorHAnsi" w:hAnsiTheme="majorHAnsi"/>
              <w:sz w:val="24"/>
              <w:szCs w:val="24"/>
            </w:rPr>
            <w:t xml:space="preserve">) recorded that adult literacy rate in Liberia displaced a gap outside Monrovia. The PRS revealed that only about one-third of women are literate, compare to about 60% of men. </w:t>
          </w:r>
        </w:p>
        <w:p w:rsidR="00F0012C" w:rsidRPr="00F4220B" w:rsidRDefault="00F0012C" w:rsidP="00F0012C">
          <w:pPr>
            <w:pStyle w:val="NoSpacing"/>
            <w:spacing w:line="360" w:lineRule="auto"/>
            <w:jc w:val="both"/>
            <w:rPr>
              <w:rFonts w:asciiTheme="majorHAnsi" w:hAnsiTheme="majorHAnsi"/>
              <w:sz w:val="6"/>
              <w:szCs w:val="24"/>
            </w:rPr>
          </w:pPr>
        </w:p>
        <w:p w:rsidR="00F0012C" w:rsidRPr="00F0012C" w:rsidRDefault="00F0012C" w:rsidP="00F0012C">
          <w:pPr>
            <w:pStyle w:val="NoSpacing"/>
            <w:spacing w:line="360" w:lineRule="auto"/>
            <w:jc w:val="both"/>
            <w:rPr>
              <w:rFonts w:asciiTheme="majorHAnsi" w:hAnsiTheme="majorHAnsi"/>
              <w:sz w:val="24"/>
              <w:szCs w:val="24"/>
            </w:rPr>
          </w:pPr>
          <w:r w:rsidRPr="00F0012C">
            <w:rPr>
              <w:rFonts w:asciiTheme="majorHAnsi" w:hAnsiTheme="majorHAnsi"/>
              <w:sz w:val="24"/>
              <w:szCs w:val="24"/>
            </w:rPr>
            <w:t>According to the PRS</w:t>
          </w:r>
          <w:r w:rsidR="00FA0A85">
            <w:rPr>
              <w:rFonts w:asciiTheme="majorHAnsi" w:hAnsiTheme="majorHAnsi"/>
              <w:sz w:val="24"/>
              <w:szCs w:val="24"/>
            </w:rPr>
            <w:t xml:space="preserve"> I 2008-2011</w:t>
          </w:r>
          <w:r w:rsidRPr="00F0012C">
            <w:rPr>
              <w:rFonts w:asciiTheme="majorHAnsi" w:hAnsiTheme="majorHAnsi"/>
              <w:sz w:val="24"/>
              <w:szCs w:val="24"/>
            </w:rPr>
            <w:t xml:space="preserve"> public primary gross school enrollment has increase by 82% in the last two years </w:t>
          </w:r>
          <w:r w:rsidR="00BE301F">
            <w:rPr>
              <w:rFonts w:asciiTheme="majorHAnsi" w:hAnsiTheme="majorHAnsi"/>
              <w:sz w:val="24"/>
              <w:szCs w:val="24"/>
            </w:rPr>
            <w:t>(2007-2007)</w:t>
          </w:r>
          <w:r w:rsidRPr="00F0012C">
            <w:rPr>
              <w:rFonts w:asciiTheme="majorHAnsi" w:hAnsiTheme="majorHAnsi"/>
              <w:sz w:val="24"/>
              <w:szCs w:val="24"/>
            </w:rPr>
            <w:t xml:space="preserve">. Secondary and tertiary enrollments are lower.  Cost </w:t>
          </w:r>
          <w:r w:rsidRPr="00F0012C">
            <w:rPr>
              <w:rFonts w:asciiTheme="majorHAnsi" w:hAnsiTheme="majorHAnsi"/>
              <w:sz w:val="24"/>
              <w:szCs w:val="24"/>
            </w:rPr>
            <w:lastRenderedPageBreak/>
            <w:t>remains a barrel to education, despite the government free and compulsory primary education program. Many schools still collect unofficial fees, and the cost of uniforms and other supplies make education unaffordable for many families. In addition, many Liberians criticized the quality of education facilities including the availability of text books and qualification of teachers.</w:t>
          </w:r>
        </w:p>
        <w:p w:rsidR="00A3665C" w:rsidRPr="00F4220B" w:rsidRDefault="00A3665C" w:rsidP="00A3665C">
          <w:pPr>
            <w:pStyle w:val="NoSpacing"/>
            <w:spacing w:line="360" w:lineRule="auto"/>
            <w:rPr>
              <w:rFonts w:asciiTheme="majorHAnsi" w:eastAsiaTheme="majorEastAsia" w:hAnsiTheme="majorHAnsi" w:cstheme="majorBidi"/>
              <w:sz w:val="14"/>
              <w:szCs w:val="24"/>
            </w:rPr>
          </w:pPr>
        </w:p>
        <w:p w:rsidR="00A3665C" w:rsidRPr="00F03B24" w:rsidRDefault="00C30007" w:rsidP="00F03B24">
          <w:pPr>
            <w:pStyle w:val="NoSpacing"/>
            <w:shd w:val="clear" w:color="auto" w:fill="4F81BD" w:themeFill="accent1"/>
            <w:spacing w:line="360" w:lineRule="auto"/>
            <w:jc w:val="both"/>
            <w:rPr>
              <w:rFonts w:asciiTheme="majorHAnsi" w:eastAsiaTheme="majorEastAsia" w:hAnsiTheme="majorHAnsi" w:cstheme="majorBidi"/>
              <w:b/>
              <w:color w:val="FFFFFF" w:themeColor="background1"/>
              <w:sz w:val="24"/>
              <w:szCs w:val="24"/>
            </w:rPr>
          </w:pPr>
          <w:r w:rsidRPr="00F03B24">
            <w:rPr>
              <w:rFonts w:asciiTheme="majorHAnsi" w:eastAsiaTheme="majorEastAsia" w:hAnsiTheme="majorHAnsi" w:cstheme="majorBidi"/>
              <w:b/>
              <w:color w:val="FFFFFF" w:themeColor="background1"/>
              <w:sz w:val="24"/>
              <w:szCs w:val="24"/>
            </w:rPr>
            <w:t xml:space="preserve">Critique of Options </w:t>
          </w:r>
        </w:p>
        <w:p w:rsidR="00F4641C" w:rsidRDefault="00C56E2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In spite of the constitution </w:t>
          </w:r>
          <w:r w:rsidR="00696259">
            <w:rPr>
              <w:rFonts w:asciiTheme="majorHAnsi" w:eastAsiaTheme="majorEastAsia" w:hAnsiTheme="majorHAnsi" w:cstheme="majorBidi"/>
              <w:sz w:val="24"/>
              <w:szCs w:val="24"/>
            </w:rPr>
            <w:t xml:space="preserve">of Liberia </w:t>
          </w:r>
          <w:r>
            <w:rPr>
              <w:rFonts w:asciiTheme="majorHAnsi" w:eastAsiaTheme="majorEastAsia" w:hAnsiTheme="majorHAnsi" w:cstheme="majorBidi"/>
              <w:sz w:val="24"/>
              <w:szCs w:val="24"/>
            </w:rPr>
            <w:t xml:space="preserve">guarantee of the people of Liberia equal rights to basic social services, </w:t>
          </w:r>
          <w:r w:rsidR="00F4220B">
            <w:rPr>
              <w:rFonts w:asciiTheme="majorHAnsi" w:eastAsiaTheme="majorEastAsia" w:hAnsiTheme="majorHAnsi" w:cstheme="majorBidi"/>
              <w:sz w:val="24"/>
              <w:szCs w:val="24"/>
            </w:rPr>
            <w:t xml:space="preserve">the huge challenges as mentioned in the problems above and Liberia adoption of key international instruments as mentioned above, </w:t>
          </w:r>
          <w:r>
            <w:rPr>
              <w:rFonts w:asciiTheme="majorHAnsi" w:eastAsiaTheme="majorEastAsia" w:hAnsiTheme="majorHAnsi" w:cstheme="majorBidi"/>
              <w:sz w:val="24"/>
              <w:szCs w:val="24"/>
            </w:rPr>
            <w:t>alloc</w:t>
          </w:r>
          <w:r w:rsidR="00A40024">
            <w:rPr>
              <w:rFonts w:asciiTheme="majorHAnsi" w:eastAsiaTheme="majorEastAsia" w:hAnsiTheme="majorHAnsi" w:cstheme="majorBidi"/>
              <w:sz w:val="24"/>
              <w:szCs w:val="24"/>
            </w:rPr>
            <w:t>ation in the draft medium term National B</w:t>
          </w:r>
          <w:r>
            <w:rPr>
              <w:rFonts w:asciiTheme="majorHAnsi" w:eastAsiaTheme="majorEastAsia" w:hAnsiTheme="majorHAnsi" w:cstheme="majorBidi"/>
              <w:sz w:val="24"/>
              <w:szCs w:val="24"/>
            </w:rPr>
            <w:t xml:space="preserve">udget </w:t>
          </w:r>
          <w:r w:rsidR="00193AF6">
            <w:rPr>
              <w:rFonts w:asciiTheme="majorHAnsi" w:eastAsiaTheme="majorEastAsia" w:hAnsiTheme="majorHAnsi" w:cstheme="majorBidi"/>
              <w:sz w:val="24"/>
              <w:szCs w:val="24"/>
            </w:rPr>
            <w:t xml:space="preserve">first year 2012/2013 </w:t>
          </w:r>
          <w:r>
            <w:rPr>
              <w:rFonts w:asciiTheme="majorHAnsi" w:eastAsiaTheme="majorEastAsia" w:hAnsiTheme="majorHAnsi" w:cstheme="majorBidi"/>
              <w:sz w:val="24"/>
              <w:szCs w:val="24"/>
            </w:rPr>
            <w:t xml:space="preserve">for education, health, water and sanitation </w:t>
          </w:r>
          <w:r w:rsidR="00696259">
            <w:rPr>
              <w:rFonts w:asciiTheme="majorHAnsi" w:eastAsiaTheme="majorEastAsia" w:hAnsiTheme="majorHAnsi" w:cstheme="majorBidi"/>
              <w:sz w:val="24"/>
              <w:szCs w:val="24"/>
            </w:rPr>
            <w:t xml:space="preserve">is centralized with allocation of government of Liberia projects </w:t>
          </w:r>
          <w:r w:rsidR="00B851C4">
            <w:rPr>
              <w:rFonts w:asciiTheme="majorHAnsi" w:eastAsiaTheme="majorEastAsia" w:hAnsiTheme="majorHAnsi" w:cstheme="majorBidi"/>
              <w:sz w:val="24"/>
              <w:szCs w:val="24"/>
            </w:rPr>
            <w:t xml:space="preserve">in the areas </w:t>
          </w:r>
          <w:r w:rsidR="00696259">
            <w:rPr>
              <w:rFonts w:asciiTheme="majorHAnsi" w:eastAsiaTheme="majorEastAsia" w:hAnsiTheme="majorHAnsi" w:cstheme="majorBidi"/>
              <w:sz w:val="24"/>
              <w:szCs w:val="24"/>
            </w:rPr>
            <w:t xml:space="preserve">proposed for counties </w:t>
          </w:r>
          <w:r w:rsidR="005300DD">
            <w:rPr>
              <w:rFonts w:asciiTheme="majorHAnsi" w:eastAsiaTheme="majorEastAsia" w:hAnsiTheme="majorHAnsi" w:cstheme="majorBidi"/>
              <w:sz w:val="24"/>
              <w:szCs w:val="24"/>
            </w:rPr>
            <w:t xml:space="preserve">districts that host seats of the county. </w:t>
          </w:r>
          <w:r w:rsidR="00954C9A">
            <w:rPr>
              <w:rFonts w:asciiTheme="majorHAnsi" w:eastAsiaTheme="majorEastAsia" w:hAnsiTheme="majorHAnsi" w:cstheme="majorBidi"/>
              <w:sz w:val="24"/>
              <w:szCs w:val="24"/>
            </w:rPr>
            <w:t>Interestingly</w:t>
          </w:r>
          <w:r w:rsidR="005300DD">
            <w:rPr>
              <w:rFonts w:asciiTheme="majorHAnsi" w:eastAsiaTheme="majorEastAsia" w:hAnsiTheme="majorHAnsi" w:cstheme="majorBidi"/>
              <w:sz w:val="24"/>
              <w:szCs w:val="24"/>
            </w:rPr>
            <w:t xml:space="preserve">, these districts in the counties are the areas with better development than the rest of the other districts in terms of education facilities, health care, water and sanitation, infrastructure, economic activities etc. </w:t>
          </w:r>
          <w:r w:rsidR="00A40024">
            <w:rPr>
              <w:rFonts w:asciiTheme="majorHAnsi" w:eastAsiaTheme="majorEastAsia" w:hAnsiTheme="majorHAnsi" w:cstheme="majorBidi"/>
              <w:sz w:val="24"/>
              <w:szCs w:val="24"/>
            </w:rPr>
            <w:t>Contrary to the standard of equitable distribution</w:t>
          </w:r>
          <w:r w:rsidR="005300DD">
            <w:rPr>
              <w:rFonts w:asciiTheme="majorHAnsi" w:eastAsiaTheme="majorEastAsia" w:hAnsiTheme="majorHAnsi" w:cstheme="majorBidi"/>
              <w:sz w:val="24"/>
              <w:szCs w:val="24"/>
            </w:rPr>
            <w:t xml:space="preserve">, these districts are the same </w:t>
          </w:r>
          <w:r w:rsidR="00696259">
            <w:rPr>
              <w:rFonts w:asciiTheme="majorHAnsi" w:eastAsiaTheme="majorEastAsia" w:hAnsiTheme="majorHAnsi" w:cstheme="majorBidi"/>
              <w:sz w:val="24"/>
              <w:szCs w:val="24"/>
            </w:rPr>
            <w:t xml:space="preserve">previous </w:t>
          </w:r>
          <w:r w:rsidR="00A40024">
            <w:rPr>
              <w:rFonts w:asciiTheme="majorHAnsi" w:eastAsiaTheme="majorEastAsia" w:hAnsiTheme="majorHAnsi" w:cstheme="majorBidi"/>
              <w:sz w:val="24"/>
              <w:szCs w:val="24"/>
            </w:rPr>
            <w:t>N</w:t>
          </w:r>
          <w:r w:rsidR="005300DD">
            <w:rPr>
              <w:rFonts w:asciiTheme="majorHAnsi" w:eastAsiaTheme="majorEastAsia" w:hAnsiTheme="majorHAnsi" w:cstheme="majorBidi"/>
              <w:sz w:val="24"/>
              <w:szCs w:val="24"/>
            </w:rPr>
            <w:t xml:space="preserve">ational </w:t>
          </w:r>
          <w:r w:rsidR="00A40024">
            <w:rPr>
              <w:rFonts w:asciiTheme="majorHAnsi" w:eastAsiaTheme="majorEastAsia" w:hAnsiTheme="majorHAnsi" w:cstheme="majorBidi"/>
              <w:sz w:val="24"/>
              <w:szCs w:val="24"/>
            </w:rPr>
            <w:t>B</w:t>
          </w:r>
          <w:r w:rsidR="00696259">
            <w:rPr>
              <w:rFonts w:asciiTheme="majorHAnsi" w:eastAsiaTheme="majorEastAsia" w:hAnsiTheme="majorHAnsi" w:cstheme="majorBidi"/>
              <w:sz w:val="24"/>
              <w:szCs w:val="24"/>
            </w:rPr>
            <w:t xml:space="preserve">udget </w:t>
          </w:r>
          <w:r w:rsidR="00A40024">
            <w:rPr>
              <w:rFonts w:asciiTheme="majorHAnsi" w:eastAsiaTheme="majorEastAsia" w:hAnsiTheme="majorHAnsi" w:cstheme="majorBidi"/>
              <w:sz w:val="24"/>
              <w:szCs w:val="24"/>
            </w:rPr>
            <w:t>(</w:t>
          </w:r>
          <w:r w:rsidR="005300DD">
            <w:rPr>
              <w:rFonts w:asciiTheme="majorHAnsi" w:eastAsiaTheme="majorEastAsia" w:hAnsiTheme="majorHAnsi" w:cstheme="majorBidi"/>
              <w:sz w:val="24"/>
              <w:szCs w:val="24"/>
            </w:rPr>
            <w:t>2006/2007-2011/2012</w:t>
          </w:r>
          <w:r w:rsidR="00A40024">
            <w:rPr>
              <w:rFonts w:asciiTheme="majorHAnsi" w:eastAsiaTheme="majorEastAsia" w:hAnsiTheme="majorHAnsi" w:cstheme="majorBidi"/>
              <w:sz w:val="24"/>
              <w:szCs w:val="24"/>
            </w:rPr>
            <w:t>)</w:t>
          </w:r>
          <w:r w:rsidR="005300DD">
            <w:rPr>
              <w:rFonts w:asciiTheme="majorHAnsi" w:eastAsiaTheme="majorEastAsia" w:hAnsiTheme="majorHAnsi" w:cstheme="majorBidi"/>
              <w:sz w:val="24"/>
              <w:szCs w:val="24"/>
            </w:rPr>
            <w:t xml:space="preserve"> projects were </w:t>
          </w:r>
          <w:r w:rsidR="00F4641C">
            <w:rPr>
              <w:rFonts w:asciiTheme="majorHAnsi" w:eastAsiaTheme="majorEastAsia" w:hAnsiTheme="majorHAnsi" w:cstheme="majorBidi"/>
              <w:sz w:val="24"/>
              <w:szCs w:val="24"/>
            </w:rPr>
            <w:t>heavily</w:t>
          </w:r>
          <w:r w:rsidR="00696259">
            <w:rPr>
              <w:rFonts w:asciiTheme="majorHAnsi" w:eastAsiaTheme="majorEastAsia" w:hAnsiTheme="majorHAnsi" w:cstheme="majorBidi"/>
              <w:sz w:val="24"/>
              <w:szCs w:val="24"/>
            </w:rPr>
            <w:t xml:space="preserve"> </w:t>
          </w:r>
          <w:r w:rsidR="005300DD">
            <w:rPr>
              <w:rFonts w:asciiTheme="majorHAnsi" w:eastAsiaTheme="majorEastAsia" w:hAnsiTheme="majorHAnsi" w:cstheme="majorBidi"/>
              <w:sz w:val="24"/>
              <w:szCs w:val="24"/>
            </w:rPr>
            <w:t>concentrated</w:t>
          </w:r>
          <w:r w:rsidR="00696259">
            <w:rPr>
              <w:rFonts w:asciiTheme="majorHAnsi" w:eastAsiaTheme="majorEastAsia" w:hAnsiTheme="majorHAnsi" w:cstheme="majorBidi"/>
              <w:sz w:val="24"/>
              <w:szCs w:val="24"/>
            </w:rPr>
            <w:t xml:space="preserve">. In </w:t>
          </w:r>
          <w:r w:rsidR="007561F5">
            <w:rPr>
              <w:rFonts w:asciiTheme="majorHAnsi" w:eastAsiaTheme="majorEastAsia" w:hAnsiTheme="majorHAnsi" w:cstheme="majorBidi"/>
              <w:sz w:val="24"/>
              <w:szCs w:val="24"/>
            </w:rPr>
            <w:t xml:space="preserve">some </w:t>
          </w:r>
          <w:r w:rsidR="00954C9A">
            <w:rPr>
              <w:rFonts w:asciiTheme="majorHAnsi" w:eastAsiaTheme="majorEastAsia" w:hAnsiTheme="majorHAnsi" w:cstheme="majorBidi"/>
              <w:sz w:val="24"/>
              <w:szCs w:val="24"/>
            </w:rPr>
            <w:t>isolated</w:t>
          </w:r>
          <w:r w:rsidR="007561F5">
            <w:rPr>
              <w:rFonts w:asciiTheme="majorHAnsi" w:eastAsiaTheme="majorEastAsia" w:hAnsiTheme="majorHAnsi" w:cstheme="majorBidi"/>
              <w:sz w:val="24"/>
              <w:szCs w:val="24"/>
            </w:rPr>
            <w:t xml:space="preserve"> cases, where the Government projects are concentrated in district </w:t>
          </w:r>
          <w:r w:rsidR="00FD5CE4">
            <w:rPr>
              <w:rFonts w:asciiTheme="majorHAnsi" w:eastAsiaTheme="majorEastAsia" w:hAnsiTheme="majorHAnsi" w:cstheme="majorBidi"/>
              <w:sz w:val="24"/>
              <w:szCs w:val="24"/>
            </w:rPr>
            <w:t>other than</w:t>
          </w:r>
          <w:r w:rsidR="007561F5">
            <w:rPr>
              <w:rFonts w:asciiTheme="majorHAnsi" w:eastAsiaTheme="majorEastAsia" w:hAnsiTheme="majorHAnsi" w:cstheme="majorBidi"/>
              <w:sz w:val="24"/>
              <w:szCs w:val="24"/>
            </w:rPr>
            <w:t xml:space="preserve"> the city in the 2012/2013 and previous budget investment is proposed for the second district </w:t>
          </w:r>
          <w:r w:rsidR="00954C9A">
            <w:rPr>
              <w:rFonts w:asciiTheme="majorHAnsi" w:eastAsiaTheme="majorEastAsia" w:hAnsiTheme="majorHAnsi" w:cstheme="majorBidi"/>
              <w:sz w:val="24"/>
              <w:szCs w:val="24"/>
            </w:rPr>
            <w:t>with second better social services and economic activities to the district that host the county seat or capital</w:t>
          </w:r>
          <w:r w:rsidR="00A40024">
            <w:rPr>
              <w:rFonts w:asciiTheme="majorHAnsi" w:eastAsiaTheme="majorEastAsia" w:hAnsiTheme="majorHAnsi" w:cstheme="majorBidi"/>
              <w:sz w:val="24"/>
              <w:szCs w:val="24"/>
            </w:rPr>
            <w:t xml:space="preserve"> thereby leaving the traditionally marginalized communities to survive at the mercy of God</w:t>
          </w:r>
          <w:r w:rsidR="00F4641C">
            <w:rPr>
              <w:rFonts w:asciiTheme="majorHAnsi" w:eastAsiaTheme="majorEastAsia" w:hAnsiTheme="majorHAnsi" w:cstheme="majorBidi"/>
              <w:sz w:val="24"/>
              <w:szCs w:val="24"/>
            </w:rPr>
            <w:t xml:space="preserve">. </w:t>
          </w:r>
        </w:p>
        <w:p w:rsidR="00F4641C" w:rsidRPr="00F4220B" w:rsidRDefault="00F4641C" w:rsidP="00C56E2D">
          <w:pPr>
            <w:pStyle w:val="NoSpacing"/>
            <w:spacing w:line="360" w:lineRule="auto"/>
            <w:jc w:val="both"/>
            <w:rPr>
              <w:rFonts w:asciiTheme="majorHAnsi" w:eastAsiaTheme="majorEastAsia" w:hAnsiTheme="majorHAnsi" w:cstheme="majorBidi"/>
              <w:sz w:val="10"/>
              <w:szCs w:val="24"/>
            </w:rPr>
          </w:pPr>
        </w:p>
        <w:p w:rsidR="0062758F" w:rsidRDefault="0062758F"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This means, even if the </w:t>
          </w:r>
          <w:r w:rsidR="00756F23">
            <w:rPr>
              <w:rFonts w:asciiTheme="majorHAnsi" w:eastAsiaTheme="majorEastAsia" w:hAnsiTheme="majorHAnsi" w:cstheme="majorBidi"/>
              <w:sz w:val="24"/>
              <w:szCs w:val="24"/>
            </w:rPr>
            <w:t>projected</w:t>
          </w:r>
          <w:r>
            <w:rPr>
              <w:rFonts w:asciiTheme="majorHAnsi" w:eastAsiaTheme="majorEastAsia" w:hAnsiTheme="majorHAnsi" w:cstheme="majorBidi"/>
              <w:sz w:val="24"/>
              <w:szCs w:val="24"/>
            </w:rPr>
            <w:t xml:space="preserve"> revenue and </w:t>
          </w:r>
          <w:r w:rsidR="00756F23">
            <w:rPr>
              <w:rFonts w:asciiTheme="majorHAnsi" w:eastAsiaTheme="majorEastAsia" w:hAnsiTheme="majorHAnsi" w:cstheme="majorBidi"/>
              <w:sz w:val="24"/>
              <w:szCs w:val="24"/>
            </w:rPr>
            <w:t xml:space="preserve">targeted </w:t>
          </w:r>
          <w:r>
            <w:rPr>
              <w:rFonts w:asciiTheme="majorHAnsi" w:eastAsiaTheme="majorEastAsia" w:hAnsiTheme="majorHAnsi" w:cstheme="majorBidi"/>
              <w:sz w:val="24"/>
              <w:szCs w:val="24"/>
            </w:rPr>
            <w:t xml:space="preserve">amount </w:t>
          </w:r>
          <w:r w:rsidR="00F1267D">
            <w:rPr>
              <w:rFonts w:asciiTheme="majorHAnsi" w:eastAsiaTheme="majorEastAsia" w:hAnsiTheme="majorHAnsi" w:cstheme="majorBidi"/>
              <w:sz w:val="24"/>
              <w:szCs w:val="24"/>
            </w:rPr>
            <w:t>that the N</w:t>
          </w:r>
          <w:r w:rsidR="00756F23">
            <w:rPr>
              <w:rFonts w:asciiTheme="majorHAnsi" w:eastAsiaTheme="majorEastAsia" w:hAnsiTheme="majorHAnsi" w:cstheme="majorBidi"/>
              <w:sz w:val="24"/>
              <w:szCs w:val="24"/>
            </w:rPr>
            <w:t xml:space="preserve">ational Budget </w:t>
          </w:r>
          <w:r w:rsidR="00F1267D">
            <w:rPr>
              <w:rFonts w:asciiTheme="majorHAnsi" w:eastAsiaTheme="majorEastAsia" w:hAnsiTheme="majorHAnsi" w:cstheme="majorBidi"/>
              <w:sz w:val="24"/>
              <w:szCs w:val="24"/>
            </w:rPr>
            <w:t xml:space="preserve">proposes </w:t>
          </w:r>
          <w:r>
            <w:rPr>
              <w:rFonts w:asciiTheme="majorHAnsi" w:eastAsiaTheme="majorEastAsia" w:hAnsiTheme="majorHAnsi" w:cstheme="majorBidi"/>
              <w:sz w:val="24"/>
              <w:szCs w:val="24"/>
            </w:rPr>
            <w:t xml:space="preserve">is </w:t>
          </w:r>
          <w:r w:rsidR="00756F23">
            <w:rPr>
              <w:rFonts w:asciiTheme="majorHAnsi" w:eastAsiaTheme="majorEastAsia" w:hAnsiTheme="majorHAnsi" w:cstheme="majorBidi"/>
              <w:sz w:val="24"/>
              <w:szCs w:val="24"/>
            </w:rPr>
            <w:t>r</w:t>
          </w:r>
          <w:r>
            <w:rPr>
              <w:rFonts w:asciiTheme="majorHAnsi" w:eastAsiaTheme="majorEastAsia" w:hAnsiTheme="majorHAnsi" w:cstheme="majorBidi"/>
              <w:sz w:val="24"/>
              <w:szCs w:val="24"/>
            </w:rPr>
            <w:t xml:space="preserve">ise by government and funds adequately expanded, the largest majority comprising of the marginalized and vulnerable groups in rural hard to reach, inaccessible, low </w:t>
          </w:r>
          <w:r w:rsidR="00756F23">
            <w:rPr>
              <w:rFonts w:asciiTheme="majorHAnsi" w:eastAsiaTheme="majorEastAsia" w:hAnsiTheme="majorHAnsi" w:cstheme="majorBidi"/>
              <w:sz w:val="24"/>
              <w:szCs w:val="24"/>
            </w:rPr>
            <w:t>income populated areas</w:t>
          </w:r>
          <w:r>
            <w:rPr>
              <w:rFonts w:asciiTheme="majorHAnsi" w:eastAsiaTheme="majorEastAsia" w:hAnsiTheme="majorHAnsi" w:cstheme="majorBidi"/>
              <w:sz w:val="24"/>
              <w:szCs w:val="24"/>
            </w:rPr>
            <w:t xml:space="preserve"> that over the last ten or more decades </w:t>
          </w:r>
          <w:r w:rsidR="00756F23">
            <w:rPr>
              <w:rFonts w:asciiTheme="majorHAnsi" w:eastAsiaTheme="majorEastAsia" w:hAnsiTheme="majorHAnsi" w:cstheme="majorBidi"/>
              <w:sz w:val="24"/>
              <w:szCs w:val="24"/>
            </w:rPr>
            <w:t xml:space="preserve">been denied basic social services </w:t>
          </w:r>
          <w:r>
            <w:rPr>
              <w:rFonts w:asciiTheme="majorHAnsi" w:eastAsiaTheme="majorEastAsia" w:hAnsiTheme="majorHAnsi" w:cstheme="majorBidi"/>
              <w:sz w:val="24"/>
              <w:szCs w:val="24"/>
            </w:rPr>
            <w:t xml:space="preserve">will still not be accorded their rights to basic social services while their counterpart that live in cities limits that usually received the best services continue to be over served and accorded their rights to basic social services. </w:t>
          </w:r>
          <w:r w:rsidR="00972030">
            <w:rPr>
              <w:rFonts w:asciiTheme="majorHAnsi" w:eastAsiaTheme="majorEastAsia" w:hAnsiTheme="majorHAnsi" w:cstheme="majorBidi"/>
              <w:sz w:val="24"/>
              <w:szCs w:val="24"/>
            </w:rPr>
            <w:t>See table 1,</w:t>
          </w:r>
          <w:r w:rsidR="00C301D6">
            <w:rPr>
              <w:rFonts w:asciiTheme="majorHAnsi" w:eastAsiaTheme="majorEastAsia" w:hAnsiTheme="majorHAnsi" w:cstheme="majorBidi"/>
              <w:sz w:val="24"/>
              <w:szCs w:val="24"/>
            </w:rPr>
            <w:t xml:space="preserve"> </w:t>
          </w:r>
          <w:r w:rsidR="00972030">
            <w:rPr>
              <w:rFonts w:asciiTheme="majorHAnsi" w:eastAsiaTheme="majorEastAsia" w:hAnsiTheme="majorHAnsi" w:cstheme="majorBidi"/>
              <w:sz w:val="24"/>
              <w:szCs w:val="24"/>
            </w:rPr>
            <w:t>2</w:t>
          </w:r>
          <w:r w:rsidR="00511429">
            <w:rPr>
              <w:rFonts w:asciiTheme="majorHAnsi" w:eastAsiaTheme="majorEastAsia" w:hAnsiTheme="majorHAnsi" w:cstheme="majorBidi"/>
              <w:sz w:val="24"/>
              <w:szCs w:val="24"/>
            </w:rPr>
            <w:t>, 3, 4</w:t>
          </w:r>
          <w:r w:rsidR="00972030">
            <w:rPr>
              <w:rFonts w:asciiTheme="majorHAnsi" w:eastAsiaTheme="majorEastAsia" w:hAnsiTheme="majorHAnsi" w:cstheme="majorBidi"/>
              <w:sz w:val="24"/>
              <w:szCs w:val="24"/>
            </w:rPr>
            <w:t xml:space="preserve"> and </w:t>
          </w:r>
          <w:r w:rsidR="00511429">
            <w:rPr>
              <w:rFonts w:asciiTheme="majorHAnsi" w:eastAsiaTheme="majorEastAsia" w:hAnsiTheme="majorHAnsi" w:cstheme="majorBidi"/>
              <w:sz w:val="24"/>
              <w:szCs w:val="24"/>
            </w:rPr>
            <w:t>5</w:t>
          </w:r>
          <w:r w:rsidR="00972030">
            <w:rPr>
              <w:rFonts w:asciiTheme="majorHAnsi" w:eastAsiaTheme="majorEastAsia" w:hAnsiTheme="majorHAnsi" w:cstheme="majorBidi"/>
              <w:sz w:val="24"/>
              <w:szCs w:val="24"/>
            </w:rPr>
            <w:t xml:space="preserve"> below:</w:t>
          </w:r>
        </w:p>
        <w:p w:rsidR="0062758F" w:rsidRPr="00F4220B" w:rsidRDefault="0062758F" w:rsidP="00C56E2D">
          <w:pPr>
            <w:pStyle w:val="NoSpacing"/>
            <w:spacing w:line="360" w:lineRule="auto"/>
            <w:jc w:val="both"/>
            <w:rPr>
              <w:rFonts w:asciiTheme="majorHAnsi" w:eastAsiaTheme="majorEastAsia" w:hAnsiTheme="majorHAnsi" w:cstheme="majorBidi"/>
              <w:sz w:val="14"/>
              <w:szCs w:val="24"/>
            </w:rPr>
          </w:pPr>
        </w:p>
        <w:p w:rsidR="00756F23" w:rsidRDefault="00756F23"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Continuing on this trend means</w:t>
          </w:r>
          <w:r w:rsidR="00F1267D">
            <w:rPr>
              <w:rFonts w:asciiTheme="majorHAnsi" w:eastAsiaTheme="majorEastAsia" w:hAnsiTheme="majorHAnsi" w:cstheme="majorBidi"/>
              <w:sz w:val="24"/>
              <w:szCs w:val="24"/>
            </w:rPr>
            <w:t>,</w:t>
          </w:r>
          <w:r>
            <w:rPr>
              <w:rFonts w:asciiTheme="majorHAnsi" w:eastAsiaTheme="majorEastAsia" w:hAnsiTheme="majorHAnsi" w:cstheme="majorBidi"/>
              <w:sz w:val="24"/>
              <w:szCs w:val="24"/>
            </w:rPr>
            <w:t xml:space="preserve"> Liberia development trajectory will remain on the same footing where development is centralized and concentrated in city limits at the national and sub national levels thereby causing huge migration or movement of the population from marginalized communities to cities in search for better live</w:t>
          </w:r>
          <w:r w:rsidR="000114BF">
            <w:rPr>
              <w:rFonts w:asciiTheme="majorHAnsi" w:eastAsiaTheme="majorEastAsia" w:hAnsiTheme="majorHAnsi" w:cstheme="majorBidi"/>
              <w:sz w:val="24"/>
              <w:szCs w:val="24"/>
            </w:rPr>
            <w:t xml:space="preserve">. This </w:t>
          </w:r>
          <w:r w:rsidR="0092402F">
            <w:rPr>
              <w:rFonts w:asciiTheme="majorHAnsi" w:eastAsiaTheme="majorEastAsia" w:hAnsiTheme="majorHAnsi" w:cstheme="majorBidi"/>
              <w:sz w:val="24"/>
              <w:szCs w:val="24"/>
            </w:rPr>
            <w:t xml:space="preserve">trend </w:t>
          </w:r>
          <w:r w:rsidR="000114BF">
            <w:rPr>
              <w:rFonts w:asciiTheme="majorHAnsi" w:eastAsiaTheme="majorEastAsia" w:hAnsiTheme="majorHAnsi" w:cstheme="majorBidi"/>
              <w:sz w:val="24"/>
              <w:szCs w:val="24"/>
            </w:rPr>
            <w:t xml:space="preserve">in the city limit </w:t>
          </w:r>
          <w:r w:rsidR="0092402F">
            <w:rPr>
              <w:rFonts w:asciiTheme="majorHAnsi" w:eastAsiaTheme="majorEastAsia" w:hAnsiTheme="majorHAnsi" w:cstheme="majorBidi"/>
              <w:sz w:val="24"/>
              <w:szCs w:val="24"/>
            </w:rPr>
            <w:t>usually fuels over population</w:t>
          </w:r>
          <w:r>
            <w:rPr>
              <w:rFonts w:asciiTheme="majorHAnsi" w:eastAsiaTheme="majorEastAsia" w:hAnsiTheme="majorHAnsi" w:cstheme="majorBidi"/>
              <w:sz w:val="24"/>
              <w:szCs w:val="24"/>
            </w:rPr>
            <w:t xml:space="preserve"> that often result to social problems such as difficulties in waste disposal, poor sanitary environment, </w:t>
          </w:r>
          <w:r w:rsidR="000114BF">
            <w:rPr>
              <w:rFonts w:asciiTheme="majorHAnsi" w:eastAsiaTheme="majorEastAsia" w:hAnsiTheme="majorHAnsi" w:cstheme="majorBidi"/>
              <w:sz w:val="24"/>
              <w:szCs w:val="24"/>
            </w:rPr>
            <w:t xml:space="preserve">heavy demand on </w:t>
          </w:r>
          <w:r>
            <w:rPr>
              <w:rFonts w:asciiTheme="majorHAnsi" w:eastAsiaTheme="majorEastAsia" w:hAnsiTheme="majorHAnsi" w:cstheme="majorBidi"/>
              <w:sz w:val="24"/>
              <w:szCs w:val="24"/>
            </w:rPr>
            <w:t xml:space="preserve">water </w:t>
          </w:r>
          <w:r w:rsidR="000114BF">
            <w:rPr>
              <w:rFonts w:asciiTheme="majorHAnsi" w:eastAsiaTheme="majorEastAsia" w:hAnsiTheme="majorHAnsi" w:cstheme="majorBidi"/>
              <w:sz w:val="24"/>
              <w:szCs w:val="24"/>
            </w:rPr>
            <w:t xml:space="preserve">points and drop in </w:t>
          </w:r>
          <w:r w:rsidR="0092402F">
            <w:rPr>
              <w:rFonts w:asciiTheme="majorHAnsi" w:eastAsiaTheme="majorEastAsia" w:hAnsiTheme="majorHAnsi" w:cstheme="majorBidi"/>
              <w:sz w:val="24"/>
              <w:szCs w:val="24"/>
            </w:rPr>
            <w:t xml:space="preserve">water </w:t>
          </w:r>
          <w:r>
            <w:rPr>
              <w:rFonts w:asciiTheme="majorHAnsi" w:eastAsiaTheme="majorEastAsia" w:hAnsiTheme="majorHAnsi" w:cstheme="majorBidi"/>
              <w:sz w:val="24"/>
              <w:szCs w:val="24"/>
            </w:rPr>
            <w:t>level, over population of health centers</w:t>
          </w:r>
          <w:r w:rsidR="000114BF">
            <w:rPr>
              <w:rFonts w:asciiTheme="majorHAnsi" w:eastAsiaTheme="majorEastAsia" w:hAnsiTheme="majorHAnsi" w:cstheme="majorBidi"/>
              <w:sz w:val="24"/>
              <w:szCs w:val="24"/>
            </w:rPr>
            <w:t>, increase crime</w:t>
          </w:r>
          <w:r w:rsidR="00F1267D">
            <w:rPr>
              <w:rFonts w:asciiTheme="majorHAnsi" w:eastAsiaTheme="majorEastAsia" w:hAnsiTheme="majorHAnsi" w:cstheme="majorBidi"/>
              <w:sz w:val="24"/>
              <w:szCs w:val="24"/>
            </w:rPr>
            <w:t xml:space="preserve"> rate</w:t>
          </w:r>
          <w:r>
            <w:rPr>
              <w:rFonts w:asciiTheme="majorHAnsi" w:eastAsiaTheme="majorEastAsia" w:hAnsiTheme="majorHAnsi" w:cstheme="majorBidi"/>
              <w:sz w:val="24"/>
              <w:szCs w:val="24"/>
            </w:rPr>
            <w:t xml:space="preserve"> etc</w:t>
          </w:r>
          <w:r w:rsidR="000114BF">
            <w:rPr>
              <w:rFonts w:asciiTheme="majorHAnsi" w:eastAsiaTheme="majorEastAsia" w:hAnsiTheme="majorHAnsi" w:cstheme="majorBidi"/>
              <w:sz w:val="24"/>
              <w:szCs w:val="24"/>
            </w:rPr>
            <w:t xml:space="preserve"> while at the marginalized community level, this </w:t>
          </w:r>
          <w:r w:rsidR="0069071A">
            <w:rPr>
              <w:rFonts w:asciiTheme="majorHAnsi" w:eastAsiaTheme="majorEastAsia" w:hAnsiTheme="majorHAnsi" w:cstheme="majorBidi"/>
              <w:sz w:val="24"/>
              <w:szCs w:val="24"/>
            </w:rPr>
            <w:t xml:space="preserve">trend </w:t>
          </w:r>
          <w:r w:rsidR="000114BF">
            <w:rPr>
              <w:rFonts w:asciiTheme="majorHAnsi" w:eastAsiaTheme="majorEastAsia" w:hAnsiTheme="majorHAnsi" w:cstheme="majorBidi"/>
              <w:sz w:val="24"/>
              <w:szCs w:val="24"/>
            </w:rPr>
            <w:t>usuall</w:t>
          </w:r>
          <w:r w:rsidR="006C0397">
            <w:rPr>
              <w:rFonts w:asciiTheme="majorHAnsi" w:eastAsiaTheme="majorEastAsia" w:hAnsiTheme="majorHAnsi" w:cstheme="majorBidi"/>
              <w:sz w:val="24"/>
              <w:szCs w:val="24"/>
            </w:rPr>
            <w:t>y increase poverty, disease, illiteracy</w:t>
          </w:r>
          <w:r w:rsidR="000114BF">
            <w:rPr>
              <w:rFonts w:asciiTheme="majorHAnsi" w:eastAsiaTheme="majorEastAsia" w:hAnsiTheme="majorHAnsi" w:cstheme="majorBidi"/>
              <w:sz w:val="24"/>
              <w:szCs w:val="24"/>
            </w:rPr>
            <w:t xml:space="preserve">, etc. </w:t>
          </w:r>
          <w:r>
            <w:rPr>
              <w:rFonts w:asciiTheme="majorHAnsi" w:eastAsiaTheme="majorEastAsia" w:hAnsiTheme="majorHAnsi" w:cstheme="majorBidi"/>
              <w:sz w:val="24"/>
              <w:szCs w:val="24"/>
            </w:rPr>
            <w:t xml:space="preserve">  </w:t>
          </w:r>
        </w:p>
        <w:p w:rsidR="00015646" w:rsidRPr="00015646" w:rsidRDefault="0062758F" w:rsidP="00C56E2D">
          <w:pPr>
            <w:pStyle w:val="NoSpacing"/>
            <w:spacing w:line="360" w:lineRule="auto"/>
            <w:jc w:val="both"/>
            <w:rPr>
              <w:rFonts w:asciiTheme="majorHAnsi" w:eastAsiaTheme="majorEastAsia" w:hAnsiTheme="majorHAnsi" w:cstheme="majorBidi"/>
              <w:sz w:val="8"/>
              <w:szCs w:val="24"/>
            </w:rPr>
          </w:pPr>
          <w:r>
            <w:rPr>
              <w:rFonts w:asciiTheme="majorHAnsi" w:eastAsiaTheme="majorEastAsia" w:hAnsiTheme="majorHAnsi" w:cstheme="majorBidi"/>
              <w:sz w:val="24"/>
              <w:szCs w:val="24"/>
            </w:rPr>
            <w:t xml:space="preserve"> </w:t>
          </w:r>
        </w:p>
        <w:p w:rsidR="007A690C" w:rsidRDefault="00C700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Table 1: </w:t>
          </w:r>
          <w:r w:rsidR="00611BF8">
            <w:rPr>
              <w:rFonts w:asciiTheme="majorHAnsi" w:eastAsiaTheme="majorEastAsia" w:hAnsiTheme="majorHAnsi" w:cstheme="majorBidi"/>
              <w:sz w:val="24"/>
              <w:szCs w:val="24"/>
            </w:rPr>
            <w:t xml:space="preserve">GOL </w:t>
          </w:r>
          <w:r w:rsidR="001F6285">
            <w:rPr>
              <w:rFonts w:asciiTheme="majorHAnsi" w:eastAsiaTheme="majorEastAsia" w:hAnsiTheme="majorHAnsi" w:cstheme="majorBidi"/>
              <w:sz w:val="24"/>
              <w:szCs w:val="24"/>
            </w:rPr>
            <w:t xml:space="preserve">Project: </w:t>
          </w:r>
          <w:r w:rsidR="007A690C">
            <w:rPr>
              <w:rFonts w:asciiTheme="majorHAnsi" w:eastAsiaTheme="majorEastAsia" w:hAnsiTheme="majorHAnsi" w:cstheme="majorBidi"/>
              <w:sz w:val="24"/>
              <w:szCs w:val="24"/>
            </w:rPr>
            <w:t xml:space="preserve"> </w:t>
          </w:r>
          <w:r w:rsidR="00015646">
            <w:rPr>
              <w:rFonts w:asciiTheme="majorHAnsi" w:eastAsiaTheme="majorEastAsia" w:hAnsiTheme="majorHAnsi" w:cstheme="majorBidi"/>
              <w:sz w:val="24"/>
              <w:szCs w:val="24"/>
            </w:rPr>
            <w:t xml:space="preserve">education sector county per district allocations </w:t>
          </w:r>
        </w:p>
        <w:tbl>
          <w:tblPr>
            <w:tblStyle w:val="TableGrid"/>
            <w:tblW w:w="0" w:type="auto"/>
            <w:tblLook w:val="04A0" w:firstRow="1" w:lastRow="0" w:firstColumn="1" w:lastColumn="0" w:noHBand="0" w:noVBand="1"/>
          </w:tblPr>
          <w:tblGrid>
            <w:gridCol w:w="1746"/>
            <w:gridCol w:w="1872"/>
            <w:gridCol w:w="1485"/>
            <w:gridCol w:w="1543"/>
            <w:gridCol w:w="1703"/>
            <w:gridCol w:w="1227"/>
          </w:tblGrid>
          <w:tr w:rsidR="00C700DD" w:rsidRPr="00611BF8" w:rsidTr="00CD4456">
            <w:tc>
              <w:tcPr>
                <w:tcW w:w="1746" w:type="dxa"/>
              </w:tcPr>
              <w:p w:rsidR="00C700DD" w:rsidRPr="00611BF8" w:rsidRDefault="00C700DD" w:rsidP="00C56E2D">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County</w:t>
                </w:r>
              </w:p>
            </w:tc>
            <w:tc>
              <w:tcPr>
                <w:tcW w:w="1872" w:type="dxa"/>
              </w:tcPr>
              <w:p w:rsidR="00C700DD" w:rsidRPr="00611BF8" w:rsidRDefault="00C700DD" w:rsidP="00C56E2D">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District</w:t>
                </w:r>
              </w:p>
            </w:tc>
            <w:tc>
              <w:tcPr>
                <w:tcW w:w="1485" w:type="dxa"/>
              </w:tcPr>
              <w:p w:rsidR="00C700DD" w:rsidRPr="00611BF8" w:rsidRDefault="00C700DD" w:rsidP="00C56E2D">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12/13 Budget</w:t>
                </w:r>
              </w:p>
            </w:tc>
            <w:tc>
              <w:tcPr>
                <w:tcW w:w="1543"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County</w:t>
                </w:r>
              </w:p>
            </w:tc>
            <w:tc>
              <w:tcPr>
                <w:tcW w:w="1703"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District</w:t>
                </w:r>
              </w:p>
            </w:tc>
            <w:tc>
              <w:tcPr>
                <w:tcW w:w="1227"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12/13 Budget</w:t>
                </w:r>
              </w:p>
            </w:tc>
          </w:tr>
          <w:tr w:rsidR="00C700DD" w:rsidRPr="00611BF8" w:rsidTr="00CD4456">
            <w:tc>
              <w:tcPr>
                <w:tcW w:w="5103" w:type="dxa"/>
                <w:gridSpan w:val="3"/>
              </w:tcPr>
              <w:p w:rsidR="00C700DD" w:rsidRPr="00611BF8" w:rsidRDefault="00C700DD" w:rsidP="00C56E2D">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Number of ECE Schools Constructed, furnished and Train Staffs.</w:t>
                </w:r>
              </w:p>
            </w:tc>
            <w:tc>
              <w:tcPr>
                <w:tcW w:w="4473" w:type="dxa"/>
                <w:gridSpan w:val="3"/>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No. of Female students enroll</w:t>
                </w:r>
              </w:p>
            </w:tc>
          </w:tr>
          <w:tr w:rsidR="00C700DD" w:rsidRPr="00611BF8" w:rsidTr="00CD4456">
            <w:tc>
              <w:tcPr>
                <w:tcW w:w="1746" w:type="dxa"/>
              </w:tcPr>
              <w:p w:rsidR="00C700DD" w:rsidRPr="00611BF8" w:rsidRDefault="00C700DD" w:rsidP="00C56E2D">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Sinoe</w:t>
                </w:r>
              </w:p>
            </w:tc>
            <w:tc>
              <w:tcPr>
                <w:tcW w:w="1872" w:type="dxa"/>
              </w:tcPr>
              <w:p w:rsidR="00C700DD" w:rsidRPr="00611BF8" w:rsidRDefault="00C700DD" w:rsidP="00C56E2D">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Greenville</w:t>
                </w:r>
              </w:p>
            </w:tc>
            <w:tc>
              <w:tcPr>
                <w:tcW w:w="1485" w:type="dxa"/>
              </w:tcPr>
              <w:p w:rsidR="00C700DD" w:rsidRPr="00611BF8" w:rsidRDefault="00C700DD" w:rsidP="00C56E2D">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42,857</w:t>
                </w:r>
              </w:p>
            </w:tc>
            <w:tc>
              <w:tcPr>
                <w:tcW w:w="1543"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Sinoe</w:t>
                </w:r>
              </w:p>
            </w:tc>
            <w:tc>
              <w:tcPr>
                <w:tcW w:w="1703"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Greenville</w:t>
                </w:r>
              </w:p>
            </w:tc>
            <w:tc>
              <w:tcPr>
                <w:tcW w:w="1227"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28,497</w:t>
                </w:r>
              </w:p>
            </w:tc>
          </w:tr>
          <w:tr w:rsidR="00C700DD" w:rsidRPr="00611BF8" w:rsidTr="00CD4456">
            <w:tc>
              <w:tcPr>
                <w:tcW w:w="1746" w:type="dxa"/>
              </w:tcPr>
              <w:p w:rsidR="00C700DD" w:rsidRPr="00611BF8" w:rsidRDefault="00C700DD" w:rsidP="00C56E2D">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Nimba</w:t>
                </w:r>
              </w:p>
            </w:tc>
            <w:tc>
              <w:tcPr>
                <w:tcW w:w="1872" w:type="dxa"/>
              </w:tcPr>
              <w:p w:rsidR="00C700DD" w:rsidRPr="00611BF8" w:rsidRDefault="00C700DD" w:rsidP="00C56E2D">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Yarmein</w:t>
                </w:r>
              </w:p>
            </w:tc>
            <w:tc>
              <w:tcPr>
                <w:tcW w:w="1485" w:type="dxa"/>
              </w:tcPr>
              <w:p w:rsidR="00C700DD" w:rsidRPr="00611BF8" w:rsidRDefault="00C700DD" w:rsidP="00C56E2D">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42,857</w:t>
                </w:r>
              </w:p>
            </w:tc>
            <w:tc>
              <w:tcPr>
                <w:tcW w:w="1543"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Rivercess</w:t>
                </w:r>
              </w:p>
            </w:tc>
            <w:tc>
              <w:tcPr>
                <w:tcW w:w="1703"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Zarflahn</w:t>
                </w:r>
              </w:p>
            </w:tc>
            <w:tc>
              <w:tcPr>
                <w:tcW w:w="1227"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28,497</w:t>
                </w:r>
              </w:p>
            </w:tc>
          </w:tr>
          <w:tr w:rsidR="00C700DD" w:rsidRPr="00611BF8" w:rsidTr="00CD4456">
            <w:tc>
              <w:tcPr>
                <w:tcW w:w="1746" w:type="dxa"/>
              </w:tcPr>
              <w:p w:rsidR="00C700DD" w:rsidRPr="00611BF8" w:rsidRDefault="00C700DD" w:rsidP="00C56E2D">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Montserrado</w:t>
                </w:r>
              </w:p>
            </w:tc>
            <w:tc>
              <w:tcPr>
                <w:tcW w:w="1872" w:type="dxa"/>
              </w:tcPr>
              <w:p w:rsidR="00C700DD" w:rsidRPr="00611BF8" w:rsidRDefault="00C700DD" w:rsidP="00C56E2D">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Commonwealth</w:t>
                </w:r>
              </w:p>
            </w:tc>
            <w:tc>
              <w:tcPr>
                <w:tcW w:w="1485"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42,857</w:t>
                </w:r>
              </w:p>
            </w:tc>
            <w:tc>
              <w:tcPr>
                <w:tcW w:w="1543"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River Gee</w:t>
                </w:r>
              </w:p>
            </w:tc>
            <w:tc>
              <w:tcPr>
                <w:tcW w:w="1703"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Chedepo</w:t>
                </w:r>
              </w:p>
            </w:tc>
            <w:tc>
              <w:tcPr>
                <w:tcW w:w="1227"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28,497</w:t>
                </w:r>
              </w:p>
            </w:tc>
          </w:tr>
          <w:tr w:rsidR="00C700DD" w:rsidRPr="00611BF8" w:rsidTr="00CD4456">
            <w:tc>
              <w:tcPr>
                <w:tcW w:w="1746" w:type="dxa"/>
              </w:tcPr>
              <w:p w:rsidR="00C700DD" w:rsidRPr="00611BF8" w:rsidRDefault="00C700DD" w:rsidP="00C56E2D">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Maryland</w:t>
                </w:r>
              </w:p>
            </w:tc>
            <w:tc>
              <w:tcPr>
                <w:tcW w:w="1872" w:type="dxa"/>
              </w:tcPr>
              <w:p w:rsidR="00C700DD" w:rsidRPr="00611BF8" w:rsidRDefault="00C700DD" w:rsidP="00C56E2D">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Harper</w:t>
                </w:r>
              </w:p>
            </w:tc>
            <w:tc>
              <w:tcPr>
                <w:tcW w:w="1485"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42,857</w:t>
                </w:r>
              </w:p>
            </w:tc>
            <w:tc>
              <w:tcPr>
                <w:tcW w:w="1543"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 xml:space="preserve">Nimba </w:t>
                </w:r>
              </w:p>
            </w:tc>
            <w:tc>
              <w:tcPr>
                <w:tcW w:w="1703"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Sanniquellie</w:t>
                </w:r>
              </w:p>
            </w:tc>
            <w:tc>
              <w:tcPr>
                <w:tcW w:w="1227"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28,497</w:t>
                </w:r>
              </w:p>
            </w:tc>
          </w:tr>
          <w:tr w:rsidR="00C700DD" w:rsidRPr="00611BF8" w:rsidTr="00CD4456">
            <w:tc>
              <w:tcPr>
                <w:tcW w:w="1746" w:type="dxa"/>
              </w:tcPr>
              <w:p w:rsidR="00C700DD" w:rsidRPr="00611BF8" w:rsidRDefault="00C700DD" w:rsidP="00C56E2D">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Margibi</w:t>
                </w:r>
              </w:p>
            </w:tc>
            <w:tc>
              <w:tcPr>
                <w:tcW w:w="1872" w:type="dxa"/>
              </w:tcPr>
              <w:p w:rsidR="00C700DD" w:rsidRPr="00611BF8" w:rsidRDefault="00C700DD" w:rsidP="00C56E2D">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Gibi</w:t>
                </w:r>
              </w:p>
            </w:tc>
            <w:tc>
              <w:tcPr>
                <w:tcW w:w="1485"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42,857</w:t>
                </w:r>
              </w:p>
            </w:tc>
            <w:tc>
              <w:tcPr>
                <w:tcW w:w="1543"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Montserrado</w:t>
                </w:r>
              </w:p>
            </w:tc>
            <w:tc>
              <w:tcPr>
                <w:tcW w:w="1703"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Greater Monrovia</w:t>
                </w:r>
              </w:p>
            </w:tc>
            <w:tc>
              <w:tcPr>
                <w:tcW w:w="1227"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28,497</w:t>
                </w:r>
              </w:p>
            </w:tc>
          </w:tr>
          <w:tr w:rsidR="00C700DD" w:rsidRPr="00611BF8" w:rsidTr="00CD4456">
            <w:tc>
              <w:tcPr>
                <w:tcW w:w="1746" w:type="dxa"/>
              </w:tcPr>
              <w:p w:rsidR="00C700DD" w:rsidRPr="00611BF8" w:rsidRDefault="00C700DD" w:rsidP="00C56E2D">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Grand Kru</w:t>
                </w:r>
              </w:p>
            </w:tc>
            <w:tc>
              <w:tcPr>
                <w:tcW w:w="1872" w:type="dxa"/>
              </w:tcPr>
              <w:p w:rsidR="00C700DD" w:rsidRPr="00611BF8" w:rsidRDefault="00C700DD" w:rsidP="00C56E2D">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Barclayville</w:t>
                </w:r>
              </w:p>
            </w:tc>
            <w:tc>
              <w:tcPr>
                <w:tcW w:w="1485"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42,857</w:t>
                </w:r>
              </w:p>
            </w:tc>
            <w:tc>
              <w:tcPr>
                <w:tcW w:w="1543"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Maryland</w:t>
                </w:r>
              </w:p>
            </w:tc>
            <w:tc>
              <w:tcPr>
                <w:tcW w:w="1703"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Harper</w:t>
                </w:r>
              </w:p>
            </w:tc>
            <w:tc>
              <w:tcPr>
                <w:tcW w:w="1227"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28,497</w:t>
                </w:r>
              </w:p>
            </w:tc>
          </w:tr>
          <w:tr w:rsidR="00C700DD" w:rsidRPr="00611BF8" w:rsidTr="00CD4456">
            <w:tc>
              <w:tcPr>
                <w:tcW w:w="1746" w:type="dxa"/>
              </w:tcPr>
              <w:p w:rsidR="00C700DD" w:rsidRPr="00611BF8" w:rsidRDefault="00C700DD" w:rsidP="00C56E2D">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Bong</w:t>
                </w:r>
              </w:p>
            </w:tc>
            <w:tc>
              <w:tcPr>
                <w:tcW w:w="1872" w:type="dxa"/>
              </w:tcPr>
              <w:p w:rsidR="00C700DD" w:rsidRPr="00611BF8" w:rsidRDefault="00C700DD" w:rsidP="00C56E2D">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Panta</w:t>
                </w:r>
              </w:p>
            </w:tc>
            <w:tc>
              <w:tcPr>
                <w:tcW w:w="1485"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42,857</w:t>
                </w:r>
              </w:p>
            </w:tc>
            <w:tc>
              <w:tcPr>
                <w:tcW w:w="1543"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 xml:space="preserve">Margibi </w:t>
                </w:r>
              </w:p>
            </w:tc>
            <w:tc>
              <w:tcPr>
                <w:tcW w:w="1703"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Kakata</w:t>
                </w:r>
              </w:p>
            </w:tc>
            <w:tc>
              <w:tcPr>
                <w:tcW w:w="1227" w:type="dxa"/>
              </w:tcPr>
              <w:p w:rsidR="00C700DD" w:rsidRPr="00611BF8" w:rsidRDefault="00C700DD" w:rsidP="002E48F7">
                <w:pPr>
                  <w:pStyle w:val="NoSpacing"/>
                  <w:spacing w:line="360" w:lineRule="auto"/>
                  <w:jc w:val="both"/>
                  <w:rPr>
                    <w:rFonts w:asciiTheme="majorHAnsi" w:eastAsiaTheme="majorEastAsia" w:hAnsiTheme="majorHAnsi" w:cstheme="majorBidi"/>
                    <w:szCs w:val="24"/>
                  </w:rPr>
                </w:pPr>
                <w:r w:rsidRPr="00611BF8">
                  <w:rPr>
                    <w:rFonts w:asciiTheme="majorHAnsi" w:eastAsiaTheme="majorEastAsia" w:hAnsiTheme="majorHAnsi" w:cstheme="majorBidi"/>
                    <w:szCs w:val="24"/>
                  </w:rPr>
                  <w:t>28,497</w:t>
                </w:r>
              </w:p>
            </w:tc>
          </w:tr>
          <w:tr w:rsidR="00CD4456" w:rsidRPr="00611BF8" w:rsidTr="00CD4456">
            <w:tc>
              <w:tcPr>
                <w:tcW w:w="5103" w:type="dxa"/>
                <w:gridSpan w:val="3"/>
                <w:vMerge w:val="restart"/>
              </w:tcPr>
              <w:p w:rsidR="00CD4456" w:rsidRPr="00611BF8" w:rsidRDefault="005D52DC"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 xml:space="preserve">As you will see these districts are the capital location or second improved geography location of each of the counties accept for few </w:t>
                </w:r>
                <w:r w:rsidR="00771033">
                  <w:rPr>
                    <w:rFonts w:asciiTheme="majorHAnsi" w:eastAsiaTheme="majorEastAsia" w:hAnsiTheme="majorHAnsi" w:cstheme="majorBidi"/>
                    <w:szCs w:val="24"/>
                  </w:rPr>
                  <w:t>isolated</w:t>
                </w:r>
                <w:r>
                  <w:rPr>
                    <w:rFonts w:asciiTheme="majorHAnsi" w:eastAsiaTheme="majorEastAsia" w:hAnsiTheme="majorHAnsi" w:cstheme="majorBidi"/>
                    <w:szCs w:val="24"/>
                  </w:rPr>
                  <w:t xml:space="preserve"> cases including </w:t>
                </w:r>
                <w:r w:rsidRPr="00611BF8">
                  <w:rPr>
                    <w:rFonts w:asciiTheme="majorHAnsi" w:eastAsiaTheme="majorEastAsia" w:hAnsiTheme="majorHAnsi" w:cstheme="majorBidi"/>
                    <w:szCs w:val="24"/>
                  </w:rPr>
                  <w:t>Chedepo</w:t>
                </w:r>
                <w:r>
                  <w:rPr>
                    <w:rFonts w:asciiTheme="majorHAnsi" w:eastAsiaTheme="majorEastAsia" w:hAnsiTheme="majorHAnsi" w:cstheme="majorBidi"/>
                    <w:szCs w:val="24"/>
                  </w:rPr>
                  <w:t xml:space="preserve"> in River Gee.</w:t>
                </w:r>
              </w:p>
            </w:tc>
            <w:tc>
              <w:tcPr>
                <w:tcW w:w="1543" w:type="dxa"/>
              </w:tcPr>
              <w:p w:rsidR="00CD4456" w:rsidRPr="00611BF8"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 xml:space="preserve">Lofa </w:t>
                </w:r>
              </w:p>
            </w:tc>
            <w:tc>
              <w:tcPr>
                <w:tcW w:w="1703" w:type="dxa"/>
              </w:tcPr>
              <w:p w:rsidR="00CD4456" w:rsidRPr="00611BF8"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 xml:space="preserve">Voinjama </w:t>
                </w:r>
              </w:p>
            </w:tc>
            <w:tc>
              <w:tcPr>
                <w:tcW w:w="1227" w:type="dxa"/>
              </w:tcPr>
              <w:p w:rsidR="00CD4456" w:rsidRPr="00611BF8"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28,497</w:t>
                </w:r>
              </w:p>
            </w:tc>
          </w:tr>
          <w:tr w:rsidR="00CD4456" w:rsidRPr="00611BF8" w:rsidTr="00CD4456">
            <w:tc>
              <w:tcPr>
                <w:tcW w:w="5103" w:type="dxa"/>
                <w:gridSpan w:val="3"/>
                <w:vMerge/>
              </w:tcPr>
              <w:p w:rsidR="00CD4456" w:rsidRPr="00611BF8" w:rsidRDefault="00CD4456" w:rsidP="002E48F7">
                <w:pPr>
                  <w:pStyle w:val="NoSpacing"/>
                  <w:spacing w:line="360" w:lineRule="auto"/>
                  <w:jc w:val="both"/>
                  <w:rPr>
                    <w:rFonts w:asciiTheme="majorHAnsi" w:eastAsiaTheme="majorEastAsia" w:hAnsiTheme="majorHAnsi" w:cstheme="majorBidi"/>
                    <w:szCs w:val="24"/>
                  </w:rPr>
                </w:pPr>
              </w:p>
            </w:tc>
            <w:tc>
              <w:tcPr>
                <w:tcW w:w="1543" w:type="dxa"/>
              </w:tcPr>
              <w:p w:rsidR="00CD4456"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 xml:space="preserve">Grand kru </w:t>
                </w:r>
              </w:p>
            </w:tc>
            <w:tc>
              <w:tcPr>
                <w:tcW w:w="1703" w:type="dxa"/>
              </w:tcPr>
              <w:p w:rsidR="00CD4456"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 xml:space="preserve">Barclayvill </w:t>
                </w:r>
              </w:p>
            </w:tc>
            <w:tc>
              <w:tcPr>
                <w:tcW w:w="1227" w:type="dxa"/>
              </w:tcPr>
              <w:p w:rsidR="00CD4456"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28,497</w:t>
                </w:r>
              </w:p>
            </w:tc>
          </w:tr>
          <w:tr w:rsidR="00CD4456" w:rsidRPr="00611BF8" w:rsidTr="00CD4456">
            <w:tc>
              <w:tcPr>
                <w:tcW w:w="5103" w:type="dxa"/>
                <w:gridSpan w:val="3"/>
                <w:vMerge/>
              </w:tcPr>
              <w:p w:rsidR="00CD4456" w:rsidRPr="00611BF8" w:rsidRDefault="00CD4456" w:rsidP="002E48F7">
                <w:pPr>
                  <w:pStyle w:val="NoSpacing"/>
                  <w:spacing w:line="360" w:lineRule="auto"/>
                  <w:jc w:val="both"/>
                  <w:rPr>
                    <w:rFonts w:asciiTheme="majorHAnsi" w:eastAsiaTheme="majorEastAsia" w:hAnsiTheme="majorHAnsi" w:cstheme="majorBidi"/>
                    <w:szCs w:val="24"/>
                  </w:rPr>
                </w:pPr>
              </w:p>
            </w:tc>
            <w:tc>
              <w:tcPr>
                <w:tcW w:w="1543" w:type="dxa"/>
              </w:tcPr>
              <w:p w:rsidR="00CD4456"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 xml:space="preserve">Grand Gedeh </w:t>
                </w:r>
              </w:p>
            </w:tc>
            <w:tc>
              <w:tcPr>
                <w:tcW w:w="1703" w:type="dxa"/>
              </w:tcPr>
              <w:p w:rsidR="00CD4456"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 xml:space="preserve">Tchein </w:t>
                </w:r>
              </w:p>
            </w:tc>
            <w:tc>
              <w:tcPr>
                <w:tcW w:w="1227" w:type="dxa"/>
              </w:tcPr>
              <w:p w:rsidR="00CD4456"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28,497</w:t>
                </w:r>
              </w:p>
            </w:tc>
          </w:tr>
          <w:tr w:rsidR="00CD4456" w:rsidRPr="00611BF8" w:rsidTr="00CD4456">
            <w:tc>
              <w:tcPr>
                <w:tcW w:w="5103" w:type="dxa"/>
                <w:gridSpan w:val="3"/>
                <w:vMerge/>
              </w:tcPr>
              <w:p w:rsidR="00CD4456" w:rsidRPr="00611BF8" w:rsidRDefault="00CD4456" w:rsidP="002E48F7">
                <w:pPr>
                  <w:pStyle w:val="NoSpacing"/>
                  <w:spacing w:line="360" w:lineRule="auto"/>
                  <w:jc w:val="both"/>
                  <w:rPr>
                    <w:rFonts w:asciiTheme="majorHAnsi" w:eastAsiaTheme="majorEastAsia" w:hAnsiTheme="majorHAnsi" w:cstheme="majorBidi"/>
                    <w:szCs w:val="24"/>
                  </w:rPr>
                </w:pPr>
              </w:p>
            </w:tc>
            <w:tc>
              <w:tcPr>
                <w:tcW w:w="1543" w:type="dxa"/>
              </w:tcPr>
              <w:p w:rsidR="00CD4456"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 xml:space="preserve">Grand Cape Mount </w:t>
                </w:r>
              </w:p>
            </w:tc>
            <w:tc>
              <w:tcPr>
                <w:tcW w:w="1703" w:type="dxa"/>
              </w:tcPr>
              <w:p w:rsidR="00CD4456"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 xml:space="preserve">Commonwealth </w:t>
                </w:r>
                <w:r w:rsidR="00B24CB3">
                  <w:rPr>
                    <w:rFonts w:asciiTheme="majorHAnsi" w:eastAsiaTheme="majorEastAsia" w:hAnsiTheme="majorHAnsi" w:cstheme="majorBidi"/>
                    <w:szCs w:val="24"/>
                  </w:rPr>
                  <w:t>–</w:t>
                </w:r>
                <w:r>
                  <w:rPr>
                    <w:rFonts w:asciiTheme="majorHAnsi" w:eastAsiaTheme="majorEastAsia" w:hAnsiTheme="majorHAnsi" w:cstheme="majorBidi"/>
                    <w:szCs w:val="24"/>
                  </w:rPr>
                  <w:t>c</w:t>
                </w:r>
              </w:p>
            </w:tc>
            <w:tc>
              <w:tcPr>
                <w:tcW w:w="1227" w:type="dxa"/>
              </w:tcPr>
              <w:p w:rsidR="00CD4456"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28,497</w:t>
                </w:r>
              </w:p>
            </w:tc>
          </w:tr>
          <w:tr w:rsidR="00CD4456" w:rsidRPr="00611BF8" w:rsidTr="00CD4456">
            <w:tc>
              <w:tcPr>
                <w:tcW w:w="5103" w:type="dxa"/>
                <w:gridSpan w:val="3"/>
                <w:vMerge/>
              </w:tcPr>
              <w:p w:rsidR="00CD4456" w:rsidRPr="00611BF8" w:rsidRDefault="00CD4456" w:rsidP="002E48F7">
                <w:pPr>
                  <w:pStyle w:val="NoSpacing"/>
                  <w:spacing w:line="360" w:lineRule="auto"/>
                  <w:jc w:val="both"/>
                  <w:rPr>
                    <w:rFonts w:asciiTheme="majorHAnsi" w:eastAsiaTheme="majorEastAsia" w:hAnsiTheme="majorHAnsi" w:cstheme="majorBidi"/>
                    <w:szCs w:val="24"/>
                  </w:rPr>
                </w:pPr>
              </w:p>
            </w:tc>
            <w:tc>
              <w:tcPr>
                <w:tcW w:w="1543" w:type="dxa"/>
              </w:tcPr>
              <w:p w:rsidR="00CD4456"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 xml:space="preserve">Grand Bassa </w:t>
                </w:r>
              </w:p>
            </w:tc>
            <w:tc>
              <w:tcPr>
                <w:tcW w:w="1703" w:type="dxa"/>
              </w:tcPr>
              <w:p w:rsidR="00CD4456"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District 4</w:t>
                </w:r>
              </w:p>
            </w:tc>
            <w:tc>
              <w:tcPr>
                <w:tcW w:w="1227" w:type="dxa"/>
              </w:tcPr>
              <w:p w:rsidR="00CD4456"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28,497</w:t>
                </w:r>
              </w:p>
            </w:tc>
          </w:tr>
          <w:tr w:rsidR="00CD4456" w:rsidRPr="00611BF8" w:rsidTr="00CD4456">
            <w:tc>
              <w:tcPr>
                <w:tcW w:w="5103" w:type="dxa"/>
                <w:gridSpan w:val="3"/>
                <w:vMerge/>
              </w:tcPr>
              <w:p w:rsidR="00CD4456" w:rsidRPr="00611BF8" w:rsidRDefault="00CD4456" w:rsidP="002E48F7">
                <w:pPr>
                  <w:pStyle w:val="NoSpacing"/>
                  <w:spacing w:line="360" w:lineRule="auto"/>
                  <w:jc w:val="both"/>
                  <w:rPr>
                    <w:rFonts w:asciiTheme="majorHAnsi" w:eastAsiaTheme="majorEastAsia" w:hAnsiTheme="majorHAnsi" w:cstheme="majorBidi"/>
                    <w:szCs w:val="24"/>
                  </w:rPr>
                </w:pPr>
              </w:p>
            </w:tc>
            <w:tc>
              <w:tcPr>
                <w:tcW w:w="1543" w:type="dxa"/>
              </w:tcPr>
              <w:p w:rsidR="00CD4456"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 xml:space="preserve">Gbarpolu </w:t>
                </w:r>
              </w:p>
            </w:tc>
            <w:tc>
              <w:tcPr>
                <w:tcW w:w="1703" w:type="dxa"/>
              </w:tcPr>
              <w:p w:rsidR="00CD4456"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 xml:space="preserve">Bopolu </w:t>
                </w:r>
              </w:p>
            </w:tc>
            <w:tc>
              <w:tcPr>
                <w:tcW w:w="1227" w:type="dxa"/>
              </w:tcPr>
              <w:p w:rsidR="00CD4456"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28,497</w:t>
                </w:r>
              </w:p>
            </w:tc>
          </w:tr>
          <w:tr w:rsidR="00CD4456" w:rsidRPr="00611BF8" w:rsidTr="00CD4456">
            <w:tc>
              <w:tcPr>
                <w:tcW w:w="5103" w:type="dxa"/>
                <w:gridSpan w:val="3"/>
                <w:vMerge/>
              </w:tcPr>
              <w:p w:rsidR="00CD4456" w:rsidRPr="00611BF8" w:rsidRDefault="00CD4456" w:rsidP="002E48F7">
                <w:pPr>
                  <w:pStyle w:val="NoSpacing"/>
                  <w:spacing w:line="360" w:lineRule="auto"/>
                  <w:jc w:val="both"/>
                  <w:rPr>
                    <w:rFonts w:asciiTheme="majorHAnsi" w:eastAsiaTheme="majorEastAsia" w:hAnsiTheme="majorHAnsi" w:cstheme="majorBidi"/>
                    <w:szCs w:val="24"/>
                  </w:rPr>
                </w:pPr>
              </w:p>
            </w:tc>
            <w:tc>
              <w:tcPr>
                <w:tcW w:w="1543" w:type="dxa"/>
              </w:tcPr>
              <w:p w:rsidR="00CD4456"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 xml:space="preserve">Bong </w:t>
                </w:r>
              </w:p>
            </w:tc>
            <w:tc>
              <w:tcPr>
                <w:tcW w:w="1703" w:type="dxa"/>
              </w:tcPr>
              <w:p w:rsidR="00CD4456"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 xml:space="preserve">Suakoko </w:t>
                </w:r>
              </w:p>
            </w:tc>
            <w:tc>
              <w:tcPr>
                <w:tcW w:w="1227" w:type="dxa"/>
              </w:tcPr>
              <w:p w:rsidR="00CD4456"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28,497</w:t>
                </w:r>
              </w:p>
            </w:tc>
          </w:tr>
          <w:tr w:rsidR="00CD4456" w:rsidRPr="00611BF8" w:rsidTr="00CD4456">
            <w:tc>
              <w:tcPr>
                <w:tcW w:w="5103" w:type="dxa"/>
                <w:gridSpan w:val="3"/>
                <w:vMerge/>
              </w:tcPr>
              <w:p w:rsidR="00CD4456" w:rsidRPr="00611BF8" w:rsidRDefault="00CD4456" w:rsidP="002E48F7">
                <w:pPr>
                  <w:pStyle w:val="NoSpacing"/>
                  <w:spacing w:line="360" w:lineRule="auto"/>
                  <w:jc w:val="both"/>
                  <w:rPr>
                    <w:rFonts w:asciiTheme="majorHAnsi" w:eastAsiaTheme="majorEastAsia" w:hAnsiTheme="majorHAnsi" w:cstheme="majorBidi"/>
                    <w:szCs w:val="24"/>
                  </w:rPr>
                </w:pPr>
              </w:p>
            </w:tc>
            <w:tc>
              <w:tcPr>
                <w:tcW w:w="1543" w:type="dxa"/>
              </w:tcPr>
              <w:p w:rsidR="00CD4456"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 xml:space="preserve">Bomi </w:t>
                </w:r>
              </w:p>
            </w:tc>
            <w:tc>
              <w:tcPr>
                <w:tcW w:w="1703" w:type="dxa"/>
              </w:tcPr>
              <w:p w:rsidR="00CD4456"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 xml:space="preserve">Klay </w:t>
                </w:r>
              </w:p>
            </w:tc>
            <w:tc>
              <w:tcPr>
                <w:tcW w:w="1227" w:type="dxa"/>
              </w:tcPr>
              <w:p w:rsidR="00CD4456" w:rsidRDefault="00CD4456"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28,497</w:t>
                </w:r>
              </w:p>
            </w:tc>
          </w:tr>
          <w:tr w:rsidR="005D155B" w:rsidRPr="00611BF8" w:rsidTr="00CD4456">
            <w:tc>
              <w:tcPr>
                <w:tcW w:w="5103" w:type="dxa"/>
                <w:gridSpan w:val="3"/>
              </w:tcPr>
              <w:p w:rsidR="005D155B" w:rsidRPr="00611BF8" w:rsidRDefault="005D155B"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See PSIP page 94</w:t>
                </w:r>
              </w:p>
            </w:tc>
            <w:tc>
              <w:tcPr>
                <w:tcW w:w="4473" w:type="dxa"/>
                <w:gridSpan w:val="3"/>
              </w:tcPr>
              <w:p w:rsidR="005D155B" w:rsidRPr="00611BF8" w:rsidRDefault="005D155B" w:rsidP="002E48F7">
                <w:pPr>
                  <w:pStyle w:val="NoSpacing"/>
                  <w:spacing w:line="360" w:lineRule="auto"/>
                  <w:jc w:val="both"/>
                  <w:rPr>
                    <w:rFonts w:asciiTheme="majorHAnsi" w:eastAsiaTheme="majorEastAsia" w:hAnsiTheme="majorHAnsi" w:cstheme="majorBidi"/>
                    <w:szCs w:val="24"/>
                  </w:rPr>
                </w:pPr>
                <w:r>
                  <w:rPr>
                    <w:rFonts w:asciiTheme="majorHAnsi" w:eastAsiaTheme="majorEastAsia" w:hAnsiTheme="majorHAnsi" w:cstheme="majorBidi"/>
                    <w:szCs w:val="24"/>
                  </w:rPr>
                  <w:t xml:space="preserve">See PSIP page </w:t>
                </w:r>
                <w:r w:rsidR="006A375D">
                  <w:rPr>
                    <w:rFonts w:asciiTheme="majorHAnsi" w:eastAsiaTheme="majorEastAsia" w:hAnsiTheme="majorHAnsi" w:cstheme="majorBidi"/>
                    <w:szCs w:val="24"/>
                  </w:rPr>
                  <w:t>97</w:t>
                </w:r>
              </w:p>
            </w:tc>
          </w:tr>
        </w:tbl>
        <w:p w:rsidR="007A690C" w:rsidRDefault="007A690C"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p>
        <w:p w:rsidR="00987F24" w:rsidRDefault="00C301D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Table 2</w:t>
          </w:r>
          <w:r w:rsidR="00987F24">
            <w:rPr>
              <w:rFonts w:asciiTheme="majorHAnsi" w:eastAsiaTheme="majorEastAsia" w:hAnsiTheme="majorHAnsi" w:cstheme="majorBidi"/>
              <w:sz w:val="24"/>
              <w:szCs w:val="24"/>
            </w:rPr>
            <w:t xml:space="preserve">: education </w:t>
          </w:r>
          <w:r w:rsidR="00F475C3">
            <w:rPr>
              <w:rFonts w:asciiTheme="majorHAnsi" w:eastAsiaTheme="majorEastAsia" w:hAnsiTheme="majorHAnsi" w:cstheme="majorBidi"/>
              <w:sz w:val="24"/>
              <w:szCs w:val="24"/>
            </w:rPr>
            <w:t>Sector County</w:t>
          </w:r>
          <w:r w:rsidR="00987F24">
            <w:rPr>
              <w:rFonts w:asciiTheme="majorHAnsi" w:eastAsiaTheme="majorEastAsia" w:hAnsiTheme="majorHAnsi" w:cstheme="majorBidi"/>
              <w:sz w:val="24"/>
              <w:szCs w:val="24"/>
            </w:rPr>
            <w:t xml:space="preserve"> per district allocation </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987F24" w:rsidTr="00987F24">
            <w:tc>
              <w:tcPr>
                <w:tcW w:w="1596" w:type="dxa"/>
              </w:tcPr>
              <w:p w:rsidR="00987F24" w:rsidRDefault="0082051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County</w:t>
                </w:r>
              </w:p>
            </w:tc>
            <w:tc>
              <w:tcPr>
                <w:tcW w:w="1596" w:type="dxa"/>
              </w:tcPr>
              <w:p w:rsidR="00987F24" w:rsidRDefault="0096578E"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District</w:t>
                </w:r>
              </w:p>
            </w:tc>
            <w:tc>
              <w:tcPr>
                <w:tcW w:w="1596" w:type="dxa"/>
              </w:tcPr>
              <w:p w:rsidR="00987F24" w:rsidRDefault="0096578E"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12/13 Budget</w:t>
                </w:r>
              </w:p>
            </w:tc>
            <w:tc>
              <w:tcPr>
                <w:tcW w:w="1596" w:type="dxa"/>
              </w:tcPr>
              <w:p w:rsidR="00987F24" w:rsidRDefault="0096578E"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C0unty</w:t>
                </w:r>
              </w:p>
            </w:tc>
            <w:tc>
              <w:tcPr>
                <w:tcW w:w="1596" w:type="dxa"/>
              </w:tcPr>
              <w:p w:rsidR="00987F24" w:rsidRDefault="0096578E"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District</w:t>
                </w:r>
              </w:p>
            </w:tc>
            <w:tc>
              <w:tcPr>
                <w:tcW w:w="1596" w:type="dxa"/>
              </w:tcPr>
              <w:p w:rsidR="00987F24" w:rsidRDefault="0096578E"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12/13 Budget</w:t>
                </w:r>
              </w:p>
            </w:tc>
          </w:tr>
          <w:tr w:rsidR="00987F24" w:rsidTr="002E48F7">
            <w:tc>
              <w:tcPr>
                <w:tcW w:w="4788" w:type="dxa"/>
                <w:gridSpan w:val="3"/>
              </w:tcPr>
              <w:p w:rsidR="00987F24" w:rsidRDefault="00212EE2" w:rsidP="00212EE2">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10,668</w:t>
                </w:r>
                <w:r w:rsidR="0096578E">
                  <w:rPr>
                    <w:rFonts w:asciiTheme="majorHAnsi" w:eastAsiaTheme="majorEastAsia" w:hAnsiTheme="majorHAnsi" w:cstheme="majorBidi"/>
                    <w:sz w:val="24"/>
                    <w:szCs w:val="24"/>
                  </w:rPr>
                  <w:t xml:space="preserve"> Text Books supplies to schools in </w:t>
                </w:r>
                <w:r w:rsidR="003C2CB6">
                  <w:rPr>
                    <w:rFonts w:asciiTheme="majorHAnsi" w:eastAsiaTheme="majorEastAsia" w:hAnsiTheme="majorHAnsi" w:cstheme="majorBidi"/>
                    <w:sz w:val="24"/>
                    <w:szCs w:val="24"/>
                  </w:rPr>
                  <w:t>the counties</w:t>
                </w:r>
                <w:r w:rsidR="006923E5">
                  <w:rPr>
                    <w:rFonts w:asciiTheme="majorHAnsi" w:eastAsiaTheme="majorEastAsia" w:hAnsiTheme="majorHAnsi" w:cstheme="majorBidi"/>
                    <w:sz w:val="24"/>
                    <w:szCs w:val="24"/>
                  </w:rPr>
                  <w:t>.</w:t>
                </w:r>
              </w:p>
            </w:tc>
            <w:tc>
              <w:tcPr>
                <w:tcW w:w="4788" w:type="dxa"/>
                <w:gridSpan w:val="3"/>
              </w:tcPr>
              <w:p w:rsidR="00987F24" w:rsidRDefault="006B3902" w:rsidP="006B3902">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C</w:t>
                </w:r>
                <w:r w:rsidR="006923E5">
                  <w:rPr>
                    <w:rFonts w:asciiTheme="majorHAnsi" w:eastAsiaTheme="majorEastAsia" w:hAnsiTheme="majorHAnsi" w:cstheme="majorBidi"/>
                    <w:sz w:val="24"/>
                    <w:szCs w:val="24"/>
                  </w:rPr>
                  <w:t>ounties with in service Training</w:t>
                </w:r>
                <w:r>
                  <w:rPr>
                    <w:rFonts w:asciiTheme="majorHAnsi" w:eastAsiaTheme="majorEastAsia" w:hAnsiTheme="majorHAnsi" w:cstheme="majorBidi"/>
                    <w:sz w:val="24"/>
                    <w:szCs w:val="24"/>
                  </w:rPr>
                  <w:t xml:space="preserve"> 500</w:t>
                </w:r>
                <w:r w:rsidR="006923E5">
                  <w:rPr>
                    <w:rFonts w:asciiTheme="majorHAnsi" w:eastAsiaTheme="majorEastAsia" w:hAnsiTheme="majorHAnsi" w:cstheme="majorBidi"/>
                    <w:sz w:val="24"/>
                    <w:szCs w:val="24"/>
                  </w:rPr>
                  <w:t>.</w:t>
                </w:r>
              </w:p>
            </w:tc>
          </w:tr>
          <w:tr w:rsidR="00987F24" w:rsidTr="00987F24">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Sinoe</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Greenville</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50,000</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Sinoe </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Greenville</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8,000</w:t>
                </w:r>
              </w:p>
            </w:tc>
          </w:tr>
          <w:tr w:rsidR="00987F24" w:rsidTr="00987F24">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Rivercess</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Norwein</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50,000</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Rivercess</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Zarflahn</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8,000</w:t>
                </w:r>
              </w:p>
            </w:tc>
          </w:tr>
          <w:tr w:rsidR="00987F24" w:rsidTr="00987F24">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River Gee</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Chedepo</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50,000</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River Gee</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Potupo</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8,000</w:t>
                </w:r>
              </w:p>
            </w:tc>
          </w:tr>
          <w:tr w:rsidR="00987F24" w:rsidTr="00987F24">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Nimba</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Buu- Yao</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50,000</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Nimba</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Garr- Bain</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8,000</w:t>
                </w:r>
              </w:p>
            </w:tc>
          </w:tr>
          <w:tr w:rsidR="00987F24" w:rsidTr="00987F24">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Montserrado</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Careyburg</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50,000</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Montserrado</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Greater Monrovie</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8,000</w:t>
                </w:r>
              </w:p>
            </w:tc>
          </w:tr>
          <w:tr w:rsidR="00987F24" w:rsidTr="00987F24">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Maryland</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Harper</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50,000</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Maryland</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Karleway</w:t>
                </w:r>
              </w:p>
            </w:tc>
            <w:tc>
              <w:tcPr>
                <w:tcW w:w="1596" w:type="dxa"/>
              </w:tcPr>
              <w:p w:rsidR="00987F24"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8,000</w:t>
                </w:r>
              </w:p>
            </w:tc>
          </w:tr>
          <w:tr w:rsidR="006923E5" w:rsidTr="00987F24">
            <w:tc>
              <w:tcPr>
                <w:tcW w:w="1596" w:type="dxa"/>
              </w:tcPr>
              <w:p w:rsidR="006923E5"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Margibi</w:t>
                </w:r>
              </w:p>
            </w:tc>
            <w:tc>
              <w:tcPr>
                <w:tcW w:w="1596" w:type="dxa"/>
              </w:tcPr>
              <w:p w:rsidR="006923E5"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Firestone</w:t>
                </w:r>
              </w:p>
            </w:tc>
            <w:tc>
              <w:tcPr>
                <w:tcW w:w="1596" w:type="dxa"/>
              </w:tcPr>
              <w:p w:rsidR="006923E5"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50,000</w:t>
                </w:r>
              </w:p>
            </w:tc>
            <w:tc>
              <w:tcPr>
                <w:tcW w:w="1596" w:type="dxa"/>
              </w:tcPr>
              <w:p w:rsidR="006923E5"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Margibi</w:t>
                </w:r>
              </w:p>
            </w:tc>
            <w:tc>
              <w:tcPr>
                <w:tcW w:w="1596" w:type="dxa"/>
              </w:tcPr>
              <w:p w:rsidR="006923E5"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Gibi</w:t>
                </w:r>
              </w:p>
            </w:tc>
            <w:tc>
              <w:tcPr>
                <w:tcW w:w="1596" w:type="dxa"/>
              </w:tcPr>
              <w:p w:rsidR="006923E5" w:rsidRDefault="006923E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8,000</w:t>
                </w:r>
              </w:p>
            </w:tc>
          </w:tr>
          <w:tr w:rsidR="006923E5" w:rsidTr="00987F24">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Lofa</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Foya</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50,000</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Lofa </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Kolahum</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8,000</w:t>
                </w:r>
              </w:p>
            </w:tc>
          </w:tr>
          <w:tr w:rsidR="006923E5" w:rsidTr="00987F24">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Grand Kru</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Barclayville</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50,000</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Grand Kru</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Barclayville</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8,000</w:t>
                </w:r>
              </w:p>
            </w:tc>
          </w:tr>
          <w:tr w:rsidR="006923E5" w:rsidTr="00987F24">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Grand Gedeh</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Tchien</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50,000</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Grand Gedeh</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Putu</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8,000</w:t>
                </w:r>
              </w:p>
            </w:tc>
          </w:tr>
          <w:tr w:rsidR="006923E5" w:rsidTr="00987F24">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Grand Cape Mount</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Garwula</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50,000</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Grand Cape Mount</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Garwula</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8,000</w:t>
                </w:r>
              </w:p>
            </w:tc>
          </w:tr>
          <w:tr w:rsidR="006923E5" w:rsidTr="00987F24">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Grand Bassa</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District #3</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50,000</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Grand Bassa</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District # 4</w:t>
                </w:r>
              </w:p>
            </w:tc>
            <w:tc>
              <w:tcPr>
                <w:tcW w:w="1596" w:type="dxa"/>
              </w:tcPr>
              <w:p w:rsidR="006923E5"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8,000</w:t>
                </w:r>
              </w:p>
            </w:tc>
          </w:tr>
          <w:tr w:rsidR="00CF12FB" w:rsidTr="00987F24">
            <w:tc>
              <w:tcPr>
                <w:tcW w:w="1596" w:type="dxa"/>
              </w:tcPr>
              <w:p w:rsidR="00CF12FB"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Gbapolu</w:t>
                </w:r>
              </w:p>
            </w:tc>
            <w:tc>
              <w:tcPr>
                <w:tcW w:w="1596" w:type="dxa"/>
              </w:tcPr>
              <w:p w:rsidR="00CF12FB"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Bopolu</w:t>
                </w:r>
              </w:p>
            </w:tc>
            <w:tc>
              <w:tcPr>
                <w:tcW w:w="1596" w:type="dxa"/>
              </w:tcPr>
              <w:p w:rsidR="00CF12FB"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50,000</w:t>
                </w:r>
              </w:p>
            </w:tc>
            <w:tc>
              <w:tcPr>
                <w:tcW w:w="1596" w:type="dxa"/>
              </w:tcPr>
              <w:p w:rsidR="00CF12FB"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Gbapolu</w:t>
                </w:r>
              </w:p>
            </w:tc>
            <w:tc>
              <w:tcPr>
                <w:tcW w:w="1596" w:type="dxa"/>
              </w:tcPr>
              <w:p w:rsidR="00CF12FB"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Bopolu</w:t>
                </w:r>
              </w:p>
            </w:tc>
            <w:tc>
              <w:tcPr>
                <w:tcW w:w="1596" w:type="dxa"/>
              </w:tcPr>
              <w:p w:rsidR="00CF12FB"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8,000</w:t>
                </w:r>
              </w:p>
            </w:tc>
          </w:tr>
          <w:tr w:rsidR="00CF12FB" w:rsidTr="00987F24">
            <w:tc>
              <w:tcPr>
                <w:tcW w:w="1596" w:type="dxa"/>
              </w:tcPr>
              <w:p w:rsidR="00CF12FB"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Bong</w:t>
                </w:r>
              </w:p>
            </w:tc>
            <w:tc>
              <w:tcPr>
                <w:tcW w:w="1596" w:type="dxa"/>
              </w:tcPr>
              <w:p w:rsidR="00CF12FB"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Fumah</w:t>
                </w:r>
              </w:p>
            </w:tc>
            <w:tc>
              <w:tcPr>
                <w:tcW w:w="1596" w:type="dxa"/>
              </w:tcPr>
              <w:p w:rsidR="00CF12FB"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50,000</w:t>
                </w:r>
              </w:p>
            </w:tc>
            <w:tc>
              <w:tcPr>
                <w:tcW w:w="1596" w:type="dxa"/>
              </w:tcPr>
              <w:p w:rsidR="00CF12FB"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Bong</w:t>
                </w:r>
              </w:p>
            </w:tc>
            <w:tc>
              <w:tcPr>
                <w:tcW w:w="1596" w:type="dxa"/>
              </w:tcPr>
              <w:p w:rsidR="00CF12FB"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Salala</w:t>
                </w:r>
              </w:p>
            </w:tc>
            <w:tc>
              <w:tcPr>
                <w:tcW w:w="1596" w:type="dxa"/>
              </w:tcPr>
              <w:p w:rsidR="00CF12FB"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8,000</w:t>
                </w:r>
              </w:p>
            </w:tc>
          </w:tr>
          <w:tr w:rsidR="00CF12FB" w:rsidTr="00987F24">
            <w:tc>
              <w:tcPr>
                <w:tcW w:w="1596" w:type="dxa"/>
              </w:tcPr>
              <w:p w:rsidR="00CF12FB"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Bomi</w:t>
                </w:r>
              </w:p>
            </w:tc>
            <w:tc>
              <w:tcPr>
                <w:tcW w:w="1596" w:type="dxa"/>
              </w:tcPr>
              <w:p w:rsidR="00CF12FB"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Klay</w:t>
                </w:r>
              </w:p>
            </w:tc>
            <w:tc>
              <w:tcPr>
                <w:tcW w:w="1596" w:type="dxa"/>
              </w:tcPr>
              <w:p w:rsidR="00CF12FB"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50,000</w:t>
                </w:r>
              </w:p>
            </w:tc>
            <w:tc>
              <w:tcPr>
                <w:tcW w:w="1596" w:type="dxa"/>
              </w:tcPr>
              <w:p w:rsidR="00CF12FB"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Bomi</w:t>
                </w:r>
              </w:p>
            </w:tc>
            <w:tc>
              <w:tcPr>
                <w:tcW w:w="1596" w:type="dxa"/>
              </w:tcPr>
              <w:p w:rsidR="00CF12FB"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Senjeh</w:t>
                </w:r>
              </w:p>
            </w:tc>
            <w:tc>
              <w:tcPr>
                <w:tcW w:w="1596" w:type="dxa"/>
              </w:tcPr>
              <w:p w:rsidR="00CF12FB" w:rsidRDefault="00CF12FB"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8,000</w:t>
                </w:r>
              </w:p>
            </w:tc>
          </w:tr>
          <w:tr w:rsidR="00F13E72" w:rsidTr="004150FA">
            <w:tc>
              <w:tcPr>
                <w:tcW w:w="4788" w:type="dxa"/>
                <w:gridSpan w:val="3"/>
              </w:tcPr>
              <w:p w:rsidR="00F13E72" w:rsidRDefault="00F13E72"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See PSIP page 98</w:t>
                </w:r>
              </w:p>
            </w:tc>
            <w:tc>
              <w:tcPr>
                <w:tcW w:w="4788" w:type="dxa"/>
                <w:gridSpan w:val="3"/>
              </w:tcPr>
              <w:p w:rsidR="00F13E72" w:rsidRDefault="00F13E72"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See PSIP page </w:t>
                </w:r>
                <w:r w:rsidR="005D155B">
                  <w:rPr>
                    <w:rFonts w:asciiTheme="majorHAnsi" w:eastAsiaTheme="majorEastAsia" w:hAnsiTheme="majorHAnsi" w:cstheme="majorBidi"/>
                    <w:sz w:val="24"/>
                    <w:szCs w:val="24"/>
                  </w:rPr>
                  <w:t>100</w:t>
                </w:r>
              </w:p>
            </w:tc>
          </w:tr>
        </w:tbl>
        <w:p w:rsidR="00987F24" w:rsidRDefault="00987F24" w:rsidP="00C56E2D">
          <w:pPr>
            <w:pStyle w:val="NoSpacing"/>
            <w:spacing w:line="360" w:lineRule="auto"/>
            <w:jc w:val="both"/>
            <w:rPr>
              <w:rFonts w:asciiTheme="majorHAnsi" w:eastAsiaTheme="majorEastAsia" w:hAnsiTheme="majorHAnsi" w:cstheme="majorBidi"/>
              <w:sz w:val="24"/>
              <w:szCs w:val="24"/>
            </w:rPr>
          </w:pPr>
        </w:p>
        <w:p w:rsidR="00C301D6" w:rsidRDefault="00C301D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Table 3: GOL projects </w:t>
          </w:r>
          <w:r w:rsidR="00971FE7">
            <w:rPr>
              <w:rFonts w:asciiTheme="majorHAnsi" w:eastAsiaTheme="majorEastAsia" w:hAnsiTheme="majorHAnsi" w:cstheme="majorBidi"/>
              <w:sz w:val="24"/>
              <w:szCs w:val="24"/>
            </w:rPr>
            <w:t>Education County</w:t>
          </w:r>
          <w:r>
            <w:rPr>
              <w:rFonts w:asciiTheme="majorHAnsi" w:eastAsiaTheme="majorEastAsia" w:hAnsiTheme="majorHAnsi" w:cstheme="majorBidi"/>
              <w:sz w:val="24"/>
              <w:szCs w:val="24"/>
            </w:rPr>
            <w:t xml:space="preserve"> per district allocation  </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EF79DD" w:rsidTr="00EF79DD">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County</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District</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12/13 Budget</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County</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District</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12/13 Budget</w:t>
                </w:r>
              </w:p>
            </w:tc>
          </w:tr>
          <w:tr w:rsidR="00EF79DD" w:rsidTr="002E48F7">
            <w:tc>
              <w:tcPr>
                <w:tcW w:w="4788" w:type="dxa"/>
                <w:gridSpan w:val="3"/>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No. of schools offering revitalize French Instruction in Counties</w:t>
                </w:r>
              </w:p>
            </w:tc>
            <w:tc>
              <w:tcPr>
                <w:tcW w:w="4788" w:type="dxa"/>
                <w:gridSpan w:val="3"/>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No. of Resource Centers revitalize</w:t>
                </w:r>
              </w:p>
            </w:tc>
          </w:tr>
          <w:tr w:rsidR="00EF79DD" w:rsidTr="00EF79DD">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Nimba</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Sanniquellie </w:t>
                </w:r>
                <w:r>
                  <w:rPr>
                    <w:rFonts w:asciiTheme="majorHAnsi" w:eastAsiaTheme="majorEastAsia" w:hAnsiTheme="majorHAnsi" w:cstheme="majorBidi"/>
                    <w:sz w:val="24"/>
                    <w:szCs w:val="24"/>
                  </w:rPr>
                  <w:lastRenderedPageBreak/>
                  <w:t>Mahn</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8,333</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Nimba</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Sanniquellie </w:t>
                </w:r>
                <w:r>
                  <w:rPr>
                    <w:rFonts w:asciiTheme="majorHAnsi" w:eastAsiaTheme="majorEastAsia" w:hAnsiTheme="majorHAnsi" w:cstheme="majorBidi"/>
                    <w:sz w:val="24"/>
                    <w:szCs w:val="24"/>
                  </w:rPr>
                  <w:lastRenderedPageBreak/>
                  <w:t>Mahn</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41,667</w:t>
                </w:r>
              </w:p>
            </w:tc>
          </w:tr>
          <w:tr w:rsidR="00EF79DD" w:rsidTr="00EF79DD">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Montserrado</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Greater Monrovia</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8,333</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Montserrado</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Greater Monrovia</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41,667</w:t>
                </w:r>
              </w:p>
            </w:tc>
          </w:tr>
          <w:tr w:rsidR="00EF79DD" w:rsidTr="00EF79DD">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Lofa</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Voinjama</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8,333</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Lofa</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Voinjama</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41,667</w:t>
                </w:r>
              </w:p>
            </w:tc>
          </w:tr>
          <w:tr w:rsidR="00EF79DD" w:rsidTr="00EF79DD">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Bong</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Jorquelleh</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8,333</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Bong</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Suakoko</w:t>
                </w:r>
              </w:p>
            </w:tc>
            <w:tc>
              <w:tcPr>
                <w:tcW w:w="1596" w:type="dxa"/>
              </w:tcPr>
              <w:p w:rsidR="00EF79DD" w:rsidRDefault="00EF79D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41,667</w:t>
                </w:r>
              </w:p>
            </w:tc>
          </w:tr>
          <w:tr w:rsidR="002D7AA9" w:rsidTr="00EF79DD">
            <w:tc>
              <w:tcPr>
                <w:tcW w:w="1596" w:type="dxa"/>
              </w:tcPr>
              <w:p w:rsidR="002D7AA9" w:rsidRDefault="002D7AA9"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Bomi </w:t>
                </w:r>
              </w:p>
            </w:tc>
            <w:tc>
              <w:tcPr>
                <w:tcW w:w="1596" w:type="dxa"/>
              </w:tcPr>
              <w:p w:rsidR="002D7AA9" w:rsidRDefault="002D7AA9"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Klay </w:t>
                </w:r>
              </w:p>
            </w:tc>
            <w:tc>
              <w:tcPr>
                <w:tcW w:w="1596" w:type="dxa"/>
              </w:tcPr>
              <w:p w:rsidR="002D7AA9" w:rsidRDefault="002D7AA9"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8,333</w:t>
                </w:r>
              </w:p>
            </w:tc>
            <w:tc>
              <w:tcPr>
                <w:tcW w:w="1596" w:type="dxa"/>
              </w:tcPr>
              <w:p w:rsidR="002D7AA9" w:rsidRDefault="002D7AA9" w:rsidP="00C56E2D">
                <w:pPr>
                  <w:pStyle w:val="NoSpacing"/>
                  <w:spacing w:line="360" w:lineRule="auto"/>
                  <w:jc w:val="both"/>
                  <w:rPr>
                    <w:rFonts w:asciiTheme="majorHAnsi" w:eastAsiaTheme="majorEastAsia" w:hAnsiTheme="majorHAnsi" w:cstheme="majorBidi"/>
                    <w:sz w:val="24"/>
                    <w:szCs w:val="24"/>
                  </w:rPr>
                </w:pPr>
              </w:p>
            </w:tc>
            <w:tc>
              <w:tcPr>
                <w:tcW w:w="1596" w:type="dxa"/>
              </w:tcPr>
              <w:p w:rsidR="002D7AA9" w:rsidRDefault="002D7AA9" w:rsidP="00C56E2D">
                <w:pPr>
                  <w:pStyle w:val="NoSpacing"/>
                  <w:spacing w:line="360" w:lineRule="auto"/>
                  <w:jc w:val="both"/>
                  <w:rPr>
                    <w:rFonts w:asciiTheme="majorHAnsi" w:eastAsiaTheme="majorEastAsia" w:hAnsiTheme="majorHAnsi" w:cstheme="majorBidi"/>
                    <w:sz w:val="24"/>
                    <w:szCs w:val="24"/>
                  </w:rPr>
                </w:pPr>
              </w:p>
            </w:tc>
            <w:tc>
              <w:tcPr>
                <w:tcW w:w="1596" w:type="dxa"/>
              </w:tcPr>
              <w:p w:rsidR="002D7AA9" w:rsidRDefault="002D7AA9" w:rsidP="00C56E2D">
                <w:pPr>
                  <w:pStyle w:val="NoSpacing"/>
                  <w:spacing w:line="360" w:lineRule="auto"/>
                  <w:jc w:val="both"/>
                  <w:rPr>
                    <w:rFonts w:asciiTheme="majorHAnsi" w:eastAsiaTheme="majorEastAsia" w:hAnsiTheme="majorHAnsi" w:cstheme="majorBidi"/>
                    <w:sz w:val="24"/>
                    <w:szCs w:val="24"/>
                  </w:rPr>
                </w:pPr>
              </w:p>
            </w:tc>
          </w:tr>
          <w:tr w:rsidR="00803933" w:rsidTr="00AF550F">
            <w:tc>
              <w:tcPr>
                <w:tcW w:w="4788" w:type="dxa"/>
                <w:gridSpan w:val="3"/>
              </w:tcPr>
              <w:p w:rsidR="00803933" w:rsidRDefault="002D7AA9"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Locate on PSIP page 99</w:t>
                </w:r>
              </w:p>
            </w:tc>
            <w:tc>
              <w:tcPr>
                <w:tcW w:w="4788" w:type="dxa"/>
                <w:gridSpan w:val="3"/>
              </w:tcPr>
              <w:p w:rsidR="00803933" w:rsidRDefault="002D7AA9"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Locate on PSIP page 101</w:t>
                </w:r>
              </w:p>
            </w:tc>
          </w:tr>
        </w:tbl>
        <w:p w:rsidR="008111DD" w:rsidRDefault="008111DD" w:rsidP="00C64EAB">
          <w:pPr>
            <w:pStyle w:val="NoSpacing"/>
          </w:pPr>
        </w:p>
        <w:p w:rsidR="003D5C54" w:rsidRDefault="003D5C54" w:rsidP="003D5C54">
          <w:pPr>
            <w:pStyle w:val="NoSpacing"/>
          </w:pPr>
          <w:r>
            <w:t xml:space="preserve">Table </w:t>
          </w:r>
          <w:r w:rsidR="00D43ADA">
            <w:t>4</w:t>
          </w:r>
          <w:r>
            <w:t xml:space="preserve">: GOL Project: </w:t>
          </w:r>
          <w:r w:rsidR="00FB39FB">
            <w:t>1250</w:t>
          </w:r>
          <w:r>
            <w:t xml:space="preserve"> Technical Vocational Educational Train</w:t>
          </w:r>
          <w:r w:rsidR="00FB39FB">
            <w:t xml:space="preserve">ees  under </w:t>
          </w:r>
          <w:r>
            <w:t xml:space="preserve">(TVET) </w:t>
          </w:r>
          <w:r w:rsidR="00FB39FB">
            <w:t xml:space="preserve">ready to graduate </w:t>
          </w:r>
          <w:r>
            <w:t xml:space="preserve">with relevant skills </w:t>
          </w:r>
          <w:r w:rsidR="00FB39FB">
            <w:t xml:space="preserve">prepared </w:t>
          </w:r>
          <w:r>
            <w:t>to be absorbed into the work force of Liberia.</w:t>
          </w:r>
        </w:p>
        <w:tbl>
          <w:tblPr>
            <w:tblStyle w:val="TableGrid"/>
            <w:tblW w:w="0" w:type="auto"/>
            <w:tblLook w:val="04A0" w:firstRow="1" w:lastRow="0" w:firstColumn="1" w:lastColumn="0" w:noHBand="0" w:noVBand="1"/>
          </w:tblPr>
          <w:tblGrid>
            <w:gridCol w:w="1915"/>
            <w:gridCol w:w="1915"/>
            <w:gridCol w:w="1915"/>
            <w:gridCol w:w="1915"/>
            <w:gridCol w:w="1916"/>
          </w:tblGrid>
          <w:tr w:rsidR="003D5C54" w:rsidTr="002E48F7">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County</w:t>
                </w:r>
              </w:p>
            </w:tc>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District</w:t>
                </w:r>
              </w:p>
            </w:tc>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12/13 Budget</w:t>
                </w:r>
              </w:p>
            </w:tc>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13/14 Budget</w:t>
                </w:r>
              </w:p>
            </w:tc>
            <w:tc>
              <w:tcPr>
                <w:tcW w:w="1916"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14/15 Budget</w:t>
                </w:r>
              </w:p>
            </w:tc>
          </w:tr>
          <w:tr w:rsidR="003D5C54" w:rsidTr="002E48F7">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Sinoe</w:t>
                </w:r>
              </w:p>
            </w:tc>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Greenville</w:t>
                </w:r>
              </w:p>
            </w:tc>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112,000</w:t>
                </w:r>
              </w:p>
            </w:tc>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22,280</w:t>
                </w:r>
              </w:p>
            </w:tc>
            <w:tc>
              <w:tcPr>
                <w:tcW w:w="1916"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22,280</w:t>
                </w:r>
              </w:p>
            </w:tc>
          </w:tr>
          <w:tr w:rsidR="003D5C54" w:rsidTr="002E48F7">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Nimba</w:t>
                </w:r>
              </w:p>
            </w:tc>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Yarmein</w:t>
                </w:r>
              </w:p>
            </w:tc>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112,000</w:t>
                </w:r>
              </w:p>
            </w:tc>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22,280</w:t>
                </w:r>
              </w:p>
            </w:tc>
            <w:tc>
              <w:tcPr>
                <w:tcW w:w="1916"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22,280</w:t>
                </w:r>
              </w:p>
            </w:tc>
          </w:tr>
          <w:tr w:rsidR="003D5C54" w:rsidTr="002E48F7">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Margibi</w:t>
                </w:r>
              </w:p>
            </w:tc>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Kakata</w:t>
                </w:r>
              </w:p>
            </w:tc>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112,000</w:t>
                </w:r>
              </w:p>
            </w:tc>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22,280</w:t>
                </w:r>
              </w:p>
            </w:tc>
            <w:tc>
              <w:tcPr>
                <w:tcW w:w="1916"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22,280</w:t>
                </w:r>
              </w:p>
            </w:tc>
          </w:tr>
          <w:tr w:rsidR="003D5C54" w:rsidTr="002E48F7">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Lofa</w:t>
                </w:r>
              </w:p>
            </w:tc>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Voinjama</w:t>
                </w:r>
              </w:p>
            </w:tc>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112,000</w:t>
                </w:r>
              </w:p>
            </w:tc>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22,280</w:t>
                </w:r>
              </w:p>
            </w:tc>
            <w:tc>
              <w:tcPr>
                <w:tcW w:w="1916"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22,280</w:t>
                </w:r>
              </w:p>
            </w:tc>
          </w:tr>
          <w:tr w:rsidR="003D5C54" w:rsidTr="002E48F7">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Grand Gedeh</w:t>
                </w:r>
              </w:p>
            </w:tc>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Tchien</w:t>
                </w:r>
              </w:p>
            </w:tc>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112,000</w:t>
                </w:r>
              </w:p>
            </w:tc>
            <w:tc>
              <w:tcPr>
                <w:tcW w:w="1915"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22,280</w:t>
                </w:r>
              </w:p>
            </w:tc>
            <w:tc>
              <w:tcPr>
                <w:tcW w:w="1916" w:type="dxa"/>
              </w:tcPr>
              <w:p w:rsidR="003D5C54" w:rsidRDefault="003D5C54"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22,280</w:t>
                </w:r>
              </w:p>
            </w:tc>
          </w:tr>
          <w:tr w:rsidR="00C94350" w:rsidTr="00340945">
            <w:tc>
              <w:tcPr>
                <w:tcW w:w="9576" w:type="dxa"/>
                <w:gridSpan w:val="5"/>
              </w:tcPr>
              <w:p w:rsidR="00C94350" w:rsidRDefault="00252E18"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See PSIP page </w:t>
                </w:r>
                <w:r w:rsidR="00FB39FB">
                  <w:rPr>
                    <w:rFonts w:asciiTheme="majorHAnsi" w:eastAsiaTheme="majorEastAsia" w:hAnsiTheme="majorHAnsi" w:cstheme="majorBidi"/>
                    <w:sz w:val="24"/>
                    <w:szCs w:val="24"/>
                  </w:rPr>
                  <w:t>95</w:t>
                </w:r>
              </w:p>
            </w:tc>
          </w:tr>
        </w:tbl>
        <w:p w:rsidR="007A690C" w:rsidRPr="004E61E8" w:rsidRDefault="007A690C" w:rsidP="00C56E2D">
          <w:pPr>
            <w:pStyle w:val="NoSpacing"/>
            <w:spacing w:line="360" w:lineRule="auto"/>
            <w:jc w:val="both"/>
            <w:rPr>
              <w:rFonts w:asciiTheme="majorHAnsi" w:eastAsiaTheme="majorEastAsia" w:hAnsiTheme="majorHAnsi" w:cstheme="majorBidi"/>
              <w:sz w:val="14"/>
              <w:szCs w:val="24"/>
            </w:rPr>
          </w:pPr>
        </w:p>
        <w:p w:rsidR="009948C4" w:rsidRDefault="0062055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Table </w:t>
          </w:r>
          <w:r w:rsidR="00D43ADA">
            <w:rPr>
              <w:rFonts w:asciiTheme="majorHAnsi" w:eastAsiaTheme="majorEastAsia" w:hAnsiTheme="majorHAnsi" w:cstheme="majorBidi"/>
              <w:sz w:val="24"/>
              <w:szCs w:val="24"/>
            </w:rPr>
            <w:t>5</w:t>
          </w:r>
          <w:r>
            <w:rPr>
              <w:rFonts w:asciiTheme="majorHAnsi" w:eastAsiaTheme="majorEastAsia" w:hAnsiTheme="majorHAnsi" w:cstheme="majorBidi"/>
              <w:sz w:val="24"/>
              <w:szCs w:val="24"/>
            </w:rPr>
            <w:t xml:space="preserve">: </w:t>
          </w:r>
          <w:r w:rsidR="00193A87">
            <w:rPr>
              <w:rFonts w:asciiTheme="majorHAnsi" w:eastAsiaTheme="majorEastAsia" w:hAnsiTheme="majorHAnsi" w:cstheme="majorBidi"/>
              <w:sz w:val="24"/>
              <w:szCs w:val="24"/>
            </w:rPr>
            <w:t xml:space="preserve">Health Projects per county and </w:t>
          </w:r>
          <w:r w:rsidR="00686A93">
            <w:rPr>
              <w:rFonts w:asciiTheme="majorHAnsi" w:eastAsiaTheme="majorEastAsia" w:hAnsiTheme="majorHAnsi" w:cstheme="majorBidi"/>
              <w:sz w:val="24"/>
              <w:szCs w:val="24"/>
            </w:rPr>
            <w:t>District</w:t>
          </w:r>
          <w:r w:rsidR="007A690C">
            <w:rPr>
              <w:rFonts w:asciiTheme="majorHAnsi" w:eastAsiaTheme="majorEastAsia" w:hAnsiTheme="majorHAnsi" w:cstheme="majorBidi"/>
              <w:sz w:val="24"/>
              <w:szCs w:val="24"/>
            </w:rPr>
            <w:t xml:space="preserve"> </w:t>
          </w:r>
        </w:p>
        <w:tbl>
          <w:tblPr>
            <w:tblStyle w:val="TableGrid"/>
            <w:tblW w:w="0" w:type="auto"/>
            <w:tblLook w:val="04A0" w:firstRow="1" w:lastRow="0" w:firstColumn="1" w:lastColumn="0" w:noHBand="0" w:noVBand="1"/>
          </w:tblPr>
          <w:tblGrid>
            <w:gridCol w:w="1551"/>
            <w:gridCol w:w="2086"/>
            <w:gridCol w:w="1188"/>
            <w:gridCol w:w="1518"/>
            <w:gridCol w:w="1918"/>
            <w:gridCol w:w="1315"/>
          </w:tblGrid>
          <w:tr w:rsidR="00D02265" w:rsidRPr="00C753C1" w:rsidTr="00085D37">
            <w:tc>
              <w:tcPr>
                <w:tcW w:w="1551" w:type="dxa"/>
              </w:tcPr>
              <w:p w:rsidR="00D02265" w:rsidRPr="00C753C1" w:rsidRDefault="00D02265" w:rsidP="00C56E2D">
                <w:pPr>
                  <w:pStyle w:val="NoSpacing"/>
                  <w:spacing w:line="360" w:lineRule="auto"/>
                  <w:jc w:val="both"/>
                  <w:rPr>
                    <w:rFonts w:asciiTheme="majorHAnsi" w:eastAsiaTheme="majorEastAsia" w:hAnsiTheme="majorHAnsi" w:cstheme="majorBidi"/>
                    <w:b/>
                    <w:sz w:val="24"/>
                    <w:szCs w:val="24"/>
                  </w:rPr>
                </w:pPr>
                <w:r w:rsidRPr="00C753C1">
                  <w:rPr>
                    <w:rFonts w:asciiTheme="majorHAnsi" w:eastAsiaTheme="majorEastAsia" w:hAnsiTheme="majorHAnsi" w:cstheme="majorBidi"/>
                    <w:b/>
                    <w:sz w:val="24"/>
                    <w:szCs w:val="24"/>
                  </w:rPr>
                  <w:t>County</w:t>
                </w:r>
              </w:p>
            </w:tc>
            <w:tc>
              <w:tcPr>
                <w:tcW w:w="2086" w:type="dxa"/>
              </w:tcPr>
              <w:p w:rsidR="00D02265" w:rsidRPr="00C753C1" w:rsidRDefault="00D02265" w:rsidP="00C56E2D">
                <w:pPr>
                  <w:pStyle w:val="NoSpacing"/>
                  <w:spacing w:line="360" w:lineRule="auto"/>
                  <w:jc w:val="both"/>
                  <w:rPr>
                    <w:rFonts w:asciiTheme="majorHAnsi" w:eastAsiaTheme="majorEastAsia" w:hAnsiTheme="majorHAnsi" w:cstheme="majorBidi"/>
                    <w:b/>
                    <w:sz w:val="24"/>
                    <w:szCs w:val="24"/>
                  </w:rPr>
                </w:pPr>
                <w:r w:rsidRPr="00C753C1">
                  <w:rPr>
                    <w:rFonts w:asciiTheme="majorHAnsi" w:eastAsiaTheme="majorEastAsia" w:hAnsiTheme="majorHAnsi" w:cstheme="majorBidi"/>
                    <w:b/>
                    <w:sz w:val="24"/>
                    <w:szCs w:val="24"/>
                  </w:rPr>
                  <w:t>District</w:t>
                </w:r>
              </w:p>
            </w:tc>
            <w:tc>
              <w:tcPr>
                <w:tcW w:w="1188" w:type="dxa"/>
              </w:tcPr>
              <w:p w:rsidR="00D02265" w:rsidRDefault="00D02265" w:rsidP="008C5FDB">
                <w:pPr>
                  <w:pStyle w:val="NoSpacing"/>
                  <w:spacing w:line="360" w:lineRule="auto"/>
                  <w:jc w:val="both"/>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 xml:space="preserve">Pop </w:t>
                </w:r>
              </w:p>
            </w:tc>
            <w:tc>
              <w:tcPr>
                <w:tcW w:w="1518" w:type="dxa"/>
              </w:tcPr>
              <w:p w:rsidR="00D02265" w:rsidRPr="00C753C1" w:rsidRDefault="00D02265" w:rsidP="008C5FDB">
                <w:pPr>
                  <w:pStyle w:val="NoSpacing"/>
                  <w:spacing w:line="360" w:lineRule="auto"/>
                  <w:jc w:val="both"/>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 xml:space="preserve">Main investment allocation 12/13 </w:t>
                </w:r>
              </w:p>
            </w:tc>
            <w:tc>
              <w:tcPr>
                <w:tcW w:w="1918" w:type="dxa"/>
              </w:tcPr>
              <w:p w:rsidR="00D02265" w:rsidRDefault="00D02265" w:rsidP="00C56E2D">
                <w:pPr>
                  <w:pStyle w:val="NoSpacing"/>
                  <w:spacing w:line="360" w:lineRule="auto"/>
                  <w:jc w:val="both"/>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 xml:space="preserve">County/district allocation </w:t>
                </w:r>
              </w:p>
            </w:tc>
            <w:tc>
              <w:tcPr>
                <w:tcW w:w="1315" w:type="dxa"/>
              </w:tcPr>
              <w:p w:rsidR="00D02265" w:rsidRDefault="00D02265" w:rsidP="00C56E2D">
                <w:pPr>
                  <w:pStyle w:val="NoSpacing"/>
                  <w:spacing w:line="360" w:lineRule="auto"/>
                  <w:jc w:val="both"/>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 xml:space="preserve">Per person allocation </w:t>
                </w:r>
              </w:p>
            </w:tc>
          </w:tr>
          <w:tr w:rsidR="00D02265" w:rsidRPr="00C753C1" w:rsidTr="00085D37">
            <w:tc>
              <w:tcPr>
                <w:tcW w:w="1551"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Sinoe</w:t>
                </w:r>
              </w:p>
            </w:tc>
            <w:tc>
              <w:tcPr>
                <w:tcW w:w="2086"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Greenville</w:t>
                </w:r>
              </w:p>
            </w:tc>
            <w:tc>
              <w:tcPr>
                <w:tcW w:w="1188" w:type="dxa"/>
              </w:tcPr>
              <w:p w:rsidR="00D02265" w:rsidRPr="00C753C1" w:rsidRDefault="005722DF" w:rsidP="00C56E2D">
                <w:pPr>
                  <w:pStyle w:val="NoSpacing"/>
                  <w:spacing w:line="360" w:lineRule="auto"/>
                  <w:jc w:val="both"/>
                  <w:rPr>
                    <w:rFonts w:asciiTheme="majorHAnsi" w:eastAsiaTheme="majorEastAsia" w:hAnsiTheme="majorHAnsi" w:cstheme="majorBidi"/>
                    <w:sz w:val="24"/>
                    <w:szCs w:val="24"/>
                  </w:rPr>
                </w:pPr>
                <w:r w:rsidRPr="000F790B">
                  <w:rPr>
                    <w:sz w:val="24"/>
                    <w:szCs w:val="24"/>
                  </w:rPr>
                  <w:t>101,306</w:t>
                </w:r>
              </w:p>
            </w:tc>
            <w:tc>
              <w:tcPr>
                <w:tcW w:w="1518"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249,000</w:t>
                </w:r>
              </w:p>
            </w:tc>
            <w:tc>
              <w:tcPr>
                <w:tcW w:w="1918"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296,214</w:t>
                </w:r>
              </w:p>
            </w:tc>
            <w:tc>
              <w:tcPr>
                <w:tcW w:w="1315" w:type="dxa"/>
              </w:tcPr>
              <w:p w:rsidR="00D02265" w:rsidRDefault="009F26B1"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2.9</w:t>
                </w:r>
              </w:p>
            </w:tc>
          </w:tr>
          <w:tr w:rsidR="00D02265" w:rsidRPr="00C753C1" w:rsidTr="00085D37">
            <w:tc>
              <w:tcPr>
                <w:tcW w:w="1551"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Rivercess</w:t>
                </w:r>
              </w:p>
            </w:tc>
            <w:tc>
              <w:tcPr>
                <w:tcW w:w="2086" w:type="dxa"/>
              </w:tcPr>
              <w:p w:rsidR="00D02265" w:rsidRPr="00C753C1" w:rsidRDefault="00D02265" w:rsidP="00DC79B7">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Central River Cess</w:t>
                </w:r>
              </w:p>
            </w:tc>
            <w:tc>
              <w:tcPr>
                <w:tcW w:w="1188" w:type="dxa"/>
              </w:tcPr>
              <w:p w:rsidR="00D02265" w:rsidRPr="00C753C1" w:rsidRDefault="005722DF" w:rsidP="00C56E2D">
                <w:pPr>
                  <w:pStyle w:val="NoSpacing"/>
                  <w:spacing w:line="360" w:lineRule="auto"/>
                  <w:jc w:val="both"/>
                  <w:rPr>
                    <w:rFonts w:asciiTheme="majorHAnsi" w:eastAsiaTheme="majorEastAsia" w:hAnsiTheme="majorHAnsi" w:cstheme="majorBidi"/>
                    <w:sz w:val="24"/>
                    <w:szCs w:val="24"/>
                  </w:rPr>
                </w:pPr>
                <w:r w:rsidRPr="000F790B">
                  <w:rPr>
                    <w:sz w:val="24"/>
                    <w:szCs w:val="24"/>
                  </w:rPr>
                  <w:t>69,905</w:t>
                </w:r>
              </w:p>
            </w:tc>
            <w:tc>
              <w:tcPr>
                <w:tcW w:w="1518"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249,000</w:t>
                </w:r>
              </w:p>
            </w:tc>
            <w:tc>
              <w:tcPr>
                <w:tcW w:w="1918"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215,000</w:t>
                </w:r>
              </w:p>
            </w:tc>
            <w:tc>
              <w:tcPr>
                <w:tcW w:w="1315" w:type="dxa"/>
              </w:tcPr>
              <w:p w:rsidR="00D02265" w:rsidRDefault="00E2517E"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0.3</w:t>
                </w:r>
              </w:p>
            </w:tc>
          </w:tr>
          <w:tr w:rsidR="00D02265" w:rsidRPr="00C753C1" w:rsidTr="00085D37">
            <w:tc>
              <w:tcPr>
                <w:tcW w:w="1551"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River Gee</w:t>
                </w:r>
              </w:p>
            </w:tc>
            <w:tc>
              <w:tcPr>
                <w:tcW w:w="2086"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Potupo</w:t>
                </w:r>
              </w:p>
            </w:tc>
            <w:tc>
              <w:tcPr>
                <w:tcW w:w="1188" w:type="dxa"/>
              </w:tcPr>
              <w:p w:rsidR="00D02265" w:rsidRPr="00C753C1" w:rsidRDefault="005722DF" w:rsidP="002E48F7">
                <w:pPr>
                  <w:pStyle w:val="NoSpacing"/>
                  <w:spacing w:line="360" w:lineRule="auto"/>
                  <w:jc w:val="both"/>
                  <w:rPr>
                    <w:rFonts w:asciiTheme="majorHAnsi" w:eastAsiaTheme="majorEastAsia" w:hAnsiTheme="majorHAnsi" w:cstheme="majorBidi"/>
                    <w:sz w:val="24"/>
                    <w:szCs w:val="24"/>
                  </w:rPr>
                </w:pPr>
                <w:r w:rsidRPr="000F790B">
                  <w:rPr>
                    <w:sz w:val="24"/>
                    <w:szCs w:val="24"/>
                  </w:rPr>
                  <w:t>63,843,</w:t>
                </w:r>
              </w:p>
            </w:tc>
            <w:tc>
              <w:tcPr>
                <w:tcW w:w="15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249,000</w:t>
                </w:r>
              </w:p>
            </w:tc>
            <w:tc>
              <w:tcPr>
                <w:tcW w:w="19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205,000</w:t>
                </w:r>
              </w:p>
            </w:tc>
            <w:tc>
              <w:tcPr>
                <w:tcW w:w="1315" w:type="dxa"/>
              </w:tcPr>
              <w:p w:rsidR="00D02265" w:rsidRDefault="00E2517E"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3.2</w:t>
                </w:r>
              </w:p>
            </w:tc>
          </w:tr>
          <w:tr w:rsidR="00D02265" w:rsidRPr="00C753C1" w:rsidTr="00085D37">
            <w:tc>
              <w:tcPr>
                <w:tcW w:w="1551"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Nimba</w:t>
                </w:r>
              </w:p>
            </w:tc>
            <w:tc>
              <w:tcPr>
                <w:tcW w:w="2086"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Sanniquellie</w:t>
                </w:r>
              </w:p>
            </w:tc>
            <w:tc>
              <w:tcPr>
                <w:tcW w:w="1188" w:type="dxa"/>
              </w:tcPr>
              <w:p w:rsidR="00D02265" w:rsidRPr="00C753C1" w:rsidRDefault="005722DF" w:rsidP="002E48F7">
                <w:pPr>
                  <w:pStyle w:val="NoSpacing"/>
                  <w:spacing w:line="360" w:lineRule="auto"/>
                  <w:jc w:val="both"/>
                  <w:rPr>
                    <w:rFonts w:asciiTheme="majorHAnsi" w:eastAsiaTheme="majorEastAsia" w:hAnsiTheme="majorHAnsi" w:cstheme="majorBidi"/>
                    <w:sz w:val="24"/>
                    <w:szCs w:val="24"/>
                  </w:rPr>
                </w:pPr>
                <w:r w:rsidRPr="000F790B">
                  <w:rPr>
                    <w:sz w:val="24"/>
                    <w:szCs w:val="24"/>
                  </w:rPr>
                  <w:t>452,110</w:t>
                </w:r>
              </w:p>
            </w:tc>
            <w:tc>
              <w:tcPr>
                <w:tcW w:w="15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249,000</w:t>
                </w:r>
              </w:p>
            </w:tc>
            <w:tc>
              <w:tcPr>
                <w:tcW w:w="19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963,592</w:t>
                </w:r>
              </w:p>
            </w:tc>
            <w:tc>
              <w:tcPr>
                <w:tcW w:w="1315" w:type="dxa"/>
              </w:tcPr>
              <w:p w:rsidR="00D02265" w:rsidRDefault="00E2517E"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2.1</w:t>
                </w:r>
              </w:p>
            </w:tc>
          </w:tr>
          <w:tr w:rsidR="00D02265" w:rsidRPr="00C753C1" w:rsidTr="00085D37">
            <w:tc>
              <w:tcPr>
                <w:tcW w:w="1551"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Montserrado</w:t>
                </w:r>
              </w:p>
            </w:tc>
            <w:tc>
              <w:tcPr>
                <w:tcW w:w="2086"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Greater Monrovia</w:t>
                </w:r>
              </w:p>
            </w:tc>
            <w:tc>
              <w:tcPr>
                <w:tcW w:w="1188" w:type="dxa"/>
              </w:tcPr>
              <w:p w:rsidR="00D02265" w:rsidRPr="00C753C1" w:rsidRDefault="00085D37" w:rsidP="002E48F7">
                <w:pPr>
                  <w:pStyle w:val="NoSpacing"/>
                  <w:spacing w:line="360" w:lineRule="auto"/>
                  <w:jc w:val="both"/>
                  <w:rPr>
                    <w:rFonts w:asciiTheme="majorHAnsi" w:eastAsiaTheme="majorEastAsia" w:hAnsiTheme="majorHAnsi" w:cstheme="majorBidi"/>
                    <w:sz w:val="24"/>
                    <w:szCs w:val="24"/>
                  </w:rPr>
                </w:pPr>
                <w:r w:rsidRPr="000F790B">
                  <w:rPr>
                    <w:sz w:val="24"/>
                    <w:szCs w:val="24"/>
                  </w:rPr>
                  <w:t>1,093,150</w:t>
                </w:r>
              </w:p>
            </w:tc>
            <w:tc>
              <w:tcPr>
                <w:tcW w:w="15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249,000</w:t>
                </w:r>
              </w:p>
            </w:tc>
            <w:tc>
              <w:tcPr>
                <w:tcW w:w="19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3,080,000</w:t>
                </w:r>
              </w:p>
            </w:tc>
            <w:tc>
              <w:tcPr>
                <w:tcW w:w="1315" w:type="dxa"/>
              </w:tcPr>
              <w:p w:rsidR="00D02265" w:rsidRDefault="00E2517E"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2.8</w:t>
                </w:r>
              </w:p>
            </w:tc>
          </w:tr>
          <w:tr w:rsidR="00D02265" w:rsidRPr="00C753C1" w:rsidTr="00085D37">
            <w:tc>
              <w:tcPr>
                <w:tcW w:w="1551"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Maryland</w:t>
                </w:r>
              </w:p>
            </w:tc>
            <w:tc>
              <w:tcPr>
                <w:tcW w:w="2086"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Harper</w:t>
                </w:r>
              </w:p>
            </w:tc>
            <w:tc>
              <w:tcPr>
                <w:tcW w:w="1188" w:type="dxa"/>
              </w:tcPr>
              <w:p w:rsidR="00D02265" w:rsidRPr="00C753C1" w:rsidRDefault="005722DF" w:rsidP="002E48F7">
                <w:pPr>
                  <w:pStyle w:val="NoSpacing"/>
                  <w:spacing w:line="360" w:lineRule="auto"/>
                  <w:jc w:val="both"/>
                  <w:rPr>
                    <w:rFonts w:asciiTheme="majorHAnsi" w:eastAsiaTheme="majorEastAsia" w:hAnsiTheme="majorHAnsi" w:cstheme="majorBidi"/>
                    <w:sz w:val="24"/>
                    <w:szCs w:val="24"/>
                  </w:rPr>
                </w:pPr>
                <w:r w:rsidRPr="000F790B">
                  <w:rPr>
                    <w:sz w:val="24"/>
                    <w:szCs w:val="24"/>
                  </w:rPr>
                  <w:t>134,778</w:t>
                </w:r>
              </w:p>
            </w:tc>
            <w:tc>
              <w:tcPr>
                <w:tcW w:w="15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249,000</w:t>
                </w:r>
              </w:p>
            </w:tc>
            <w:tc>
              <w:tcPr>
                <w:tcW w:w="19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381,476</w:t>
                </w:r>
              </w:p>
            </w:tc>
            <w:tc>
              <w:tcPr>
                <w:tcW w:w="1315" w:type="dxa"/>
              </w:tcPr>
              <w:p w:rsidR="00D02265" w:rsidRDefault="00E2517E"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2.8</w:t>
                </w:r>
              </w:p>
            </w:tc>
          </w:tr>
          <w:tr w:rsidR="00D02265" w:rsidRPr="00C753C1" w:rsidTr="00085D37">
            <w:tc>
              <w:tcPr>
                <w:tcW w:w="1551"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Margibi</w:t>
                </w:r>
              </w:p>
            </w:tc>
            <w:tc>
              <w:tcPr>
                <w:tcW w:w="2086"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Kakata</w:t>
                </w:r>
              </w:p>
            </w:tc>
            <w:tc>
              <w:tcPr>
                <w:tcW w:w="1188" w:type="dxa"/>
              </w:tcPr>
              <w:p w:rsidR="00D02265" w:rsidRPr="00C753C1" w:rsidRDefault="00085D37" w:rsidP="002E48F7">
                <w:pPr>
                  <w:pStyle w:val="NoSpacing"/>
                  <w:spacing w:line="360" w:lineRule="auto"/>
                  <w:jc w:val="both"/>
                  <w:rPr>
                    <w:rFonts w:asciiTheme="majorHAnsi" w:eastAsiaTheme="majorEastAsia" w:hAnsiTheme="majorHAnsi" w:cstheme="majorBidi"/>
                    <w:sz w:val="24"/>
                    <w:szCs w:val="24"/>
                  </w:rPr>
                </w:pPr>
                <w:r w:rsidRPr="000F790B">
                  <w:rPr>
                    <w:sz w:val="24"/>
                    <w:szCs w:val="24"/>
                  </w:rPr>
                  <w:t>207,437</w:t>
                </w:r>
              </w:p>
            </w:tc>
            <w:tc>
              <w:tcPr>
                <w:tcW w:w="15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249,000</w:t>
                </w:r>
              </w:p>
            </w:tc>
            <w:tc>
              <w:tcPr>
                <w:tcW w:w="19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470,855</w:t>
                </w:r>
              </w:p>
            </w:tc>
            <w:tc>
              <w:tcPr>
                <w:tcW w:w="1315" w:type="dxa"/>
              </w:tcPr>
              <w:p w:rsidR="00D02265" w:rsidRDefault="00E2517E"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2.2</w:t>
                </w:r>
              </w:p>
            </w:tc>
          </w:tr>
          <w:tr w:rsidR="00D02265" w:rsidRPr="00C753C1" w:rsidTr="00085D37">
            <w:tc>
              <w:tcPr>
                <w:tcW w:w="1551"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Lofa</w:t>
                </w:r>
              </w:p>
            </w:tc>
            <w:tc>
              <w:tcPr>
                <w:tcW w:w="2086"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Voinjama</w:t>
                </w:r>
              </w:p>
            </w:tc>
            <w:tc>
              <w:tcPr>
                <w:tcW w:w="1188" w:type="dxa"/>
              </w:tcPr>
              <w:p w:rsidR="00D02265" w:rsidRPr="00C753C1" w:rsidRDefault="005722DF" w:rsidP="002E48F7">
                <w:pPr>
                  <w:pStyle w:val="NoSpacing"/>
                  <w:spacing w:line="360" w:lineRule="auto"/>
                  <w:jc w:val="both"/>
                  <w:rPr>
                    <w:rFonts w:asciiTheme="majorHAnsi" w:eastAsiaTheme="majorEastAsia" w:hAnsiTheme="majorHAnsi" w:cstheme="majorBidi"/>
                    <w:sz w:val="24"/>
                    <w:szCs w:val="24"/>
                  </w:rPr>
                </w:pPr>
                <w:r w:rsidRPr="000F790B">
                  <w:rPr>
                    <w:sz w:val="24"/>
                    <w:szCs w:val="24"/>
                  </w:rPr>
                  <w:t>273,031</w:t>
                </w:r>
              </w:p>
            </w:tc>
            <w:tc>
              <w:tcPr>
                <w:tcW w:w="15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249,000</w:t>
                </w:r>
              </w:p>
            </w:tc>
            <w:tc>
              <w:tcPr>
                <w:tcW w:w="19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1,156,601</w:t>
                </w:r>
              </w:p>
            </w:tc>
            <w:tc>
              <w:tcPr>
                <w:tcW w:w="1315" w:type="dxa"/>
              </w:tcPr>
              <w:p w:rsidR="00D02265" w:rsidRDefault="008C19C0"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4.2</w:t>
                </w:r>
              </w:p>
            </w:tc>
          </w:tr>
          <w:tr w:rsidR="00D02265" w:rsidRPr="00C753C1" w:rsidTr="00085D37">
            <w:tc>
              <w:tcPr>
                <w:tcW w:w="1551"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lastRenderedPageBreak/>
                  <w:t>Grand Kru</w:t>
                </w:r>
              </w:p>
            </w:tc>
            <w:tc>
              <w:tcPr>
                <w:tcW w:w="2086"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Barclayville</w:t>
                </w:r>
              </w:p>
            </w:tc>
            <w:tc>
              <w:tcPr>
                <w:tcW w:w="1188" w:type="dxa"/>
              </w:tcPr>
              <w:p w:rsidR="00D02265" w:rsidRPr="00C753C1" w:rsidRDefault="005722DF" w:rsidP="002E48F7">
                <w:pPr>
                  <w:pStyle w:val="NoSpacing"/>
                  <w:spacing w:line="360" w:lineRule="auto"/>
                  <w:jc w:val="both"/>
                  <w:rPr>
                    <w:rFonts w:asciiTheme="majorHAnsi" w:eastAsiaTheme="majorEastAsia" w:hAnsiTheme="majorHAnsi" w:cstheme="majorBidi"/>
                    <w:sz w:val="24"/>
                    <w:szCs w:val="24"/>
                  </w:rPr>
                </w:pPr>
                <w:r w:rsidRPr="000F790B">
                  <w:rPr>
                    <w:sz w:val="24"/>
                    <w:szCs w:val="24"/>
                  </w:rPr>
                  <w:t>57,407</w:t>
                </w:r>
              </w:p>
            </w:tc>
            <w:tc>
              <w:tcPr>
                <w:tcW w:w="15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249,000</w:t>
                </w:r>
              </w:p>
            </w:tc>
            <w:tc>
              <w:tcPr>
                <w:tcW w:w="19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429,903</w:t>
                </w:r>
              </w:p>
            </w:tc>
            <w:tc>
              <w:tcPr>
                <w:tcW w:w="1315" w:type="dxa"/>
              </w:tcPr>
              <w:p w:rsidR="00D02265" w:rsidRDefault="008C19C0"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7.4</w:t>
                </w:r>
              </w:p>
            </w:tc>
          </w:tr>
          <w:tr w:rsidR="00D02265" w:rsidRPr="00C753C1" w:rsidTr="00085D37">
            <w:tc>
              <w:tcPr>
                <w:tcW w:w="1551"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Grand Gedeh</w:t>
                </w:r>
              </w:p>
            </w:tc>
            <w:tc>
              <w:tcPr>
                <w:tcW w:w="2086"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 xml:space="preserve">Tchien </w:t>
                </w:r>
              </w:p>
            </w:tc>
            <w:tc>
              <w:tcPr>
                <w:tcW w:w="1188" w:type="dxa"/>
              </w:tcPr>
              <w:p w:rsidR="00D02265" w:rsidRPr="00C753C1" w:rsidRDefault="005722DF" w:rsidP="002E48F7">
                <w:pPr>
                  <w:pStyle w:val="NoSpacing"/>
                  <w:spacing w:line="360" w:lineRule="auto"/>
                  <w:jc w:val="both"/>
                  <w:rPr>
                    <w:rFonts w:asciiTheme="majorHAnsi" w:eastAsiaTheme="majorEastAsia" w:hAnsiTheme="majorHAnsi" w:cstheme="majorBidi"/>
                    <w:sz w:val="24"/>
                    <w:szCs w:val="24"/>
                  </w:rPr>
                </w:pPr>
                <w:r w:rsidRPr="000F790B">
                  <w:rPr>
                    <w:sz w:val="24"/>
                    <w:szCs w:val="24"/>
                  </w:rPr>
                  <w:t>123,372</w:t>
                </w:r>
              </w:p>
            </w:tc>
            <w:tc>
              <w:tcPr>
                <w:tcW w:w="15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249,000</w:t>
                </w:r>
              </w:p>
            </w:tc>
            <w:tc>
              <w:tcPr>
                <w:tcW w:w="19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390,000</w:t>
                </w:r>
              </w:p>
            </w:tc>
            <w:tc>
              <w:tcPr>
                <w:tcW w:w="1315" w:type="dxa"/>
              </w:tcPr>
              <w:p w:rsidR="00D02265" w:rsidRDefault="008C19C0"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3.1</w:t>
                </w:r>
              </w:p>
            </w:tc>
          </w:tr>
          <w:tr w:rsidR="00D02265" w:rsidRPr="00C753C1" w:rsidTr="00085D37">
            <w:tc>
              <w:tcPr>
                <w:tcW w:w="1551"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Grand Cape Mount</w:t>
                </w:r>
              </w:p>
            </w:tc>
            <w:tc>
              <w:tcPr>
                <w:tcW w:w="2086"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Commonwealth-C</w:t>
                </w:r>
              </w:p>
            </w:tc>
            <w:tc>
              <w:tcPr>
                <w:tcW w:w="1188" w:type="dxa"/>
              </w:tcPr>
              <w:p w:rsidR="00D02265" w:rsidRPr="00C753C1" w:rsidRDefault="005722DF" w:rsidP="002E48F7">
                <w:pPr>
                  <w:pStyle w:val="NoSpacing"/>
                  <w:spacing w:line="360" w:lineRule="auto"/>
                  <w:jc w:val="both"/>
                  <w:rPr>
                    <w:rFonts w:asciiTheme="majorHAnsi" w:eastAsiaTheme="majorEastAsia" w:hAnsiTheme="majorHAnsi" w:cstheme="majorBidi"/>
                    <w:sz w:val="24"/>
                    <w:szCs w:val="24"/>
                  </w:rPr>
                </w:pPr>
                <w:r w:rsidRPr="000F790B">
                  <w:rPr>
                    <w:sz w:val="24"/>
                    <w:szCs w:val="24"/>
                  </w:rPr>
                  <w:t>124,540</w:t>
                </w:r>
              </w:p>
            </w:tc>
            <w:tc>
              <w:tcPr>
                <w:tcW w:w="15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249,000</w:t>
                </w:r>
              </w:p>
            </w:tc>
            <w:tc>
              <w:tcPr>
                <w:tcW w:w="19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260,000</w:t>
                </w:r>
              </w:p>
            </w:tc>
            <w:tc>
              <w:tcPr>
                <w:tcW w:w="1315" w:type="dxa"/>
              </w:tcPr>
              <w:p w:rsidR="00D02265" w:rsidRDefault="008C19C0"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2.0</w:t>
                </w:r>
              </w:p>
            </w:tc>
          </w:tr>
          <w:tr w:rsidR="00D02265" w:rsidRPr="00C753C1" w:rsidTr="00085D37">
            <w:tc>
              <w:tcPr>
                <w:tcW w:w="1551"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Grand Bassa</w:t>
                </w:r>
              </w:p>
            </w:tc>
            <w:tc>
              <w:tcPr>
                <w:tcW w:w="2086"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District # 3</w:t>
                </w:r>
              </w:p>
            </w:tc>
            <w:tc>
              <w:tcPr>
                <w:tcW w:w="1188" w:type="dxa"/>
              </w:tcPr>
              <w:p w:rsidR="00D02265" w:rsidRPr="00C753C1" w:rsidRDefault="005722DF" w:rsidP="002E48F7">
                <w:pPr>
                  <w:pStyle w:val="NoSpacing"/>
                  <w:spacing w:line="360" w:lineRule="auto"/>
                  <w:jc w:val="both"/>
                  <w:rPr>
                    <w:rFonts w:asciiTheme="majorHAnsi" w:eastAsiaTheme="majorEastAsia" w:hAnsiTheme="majorHAnsi" w:cstheme="majorBidi"/>
                    <w:sz w:val="24"/>
                    <w:szCs w:val="24"/>
                  </w:rPr>
                </w:pPr>
                <w:r w:rsidRPr="000F790B">
                  <w:rPr>
                    <w:sz w:val="24"/>
                    <w:szCs w:val="24"/>
                  </w:rPr>
                  <w:t>213,480</w:t>
                </w:r>
              </w:p>
            </w:tc>
            <w:tc>
              <w:tcPr>
                <w:tcW w:w="15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249,000</w:t>
                </w:r>
              </w:p>
            </w:tc>
            <w:tc>
              <w:tcPr>
                <w:tcW w:w="19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380,415</w:t>
                </w:r>
              </w:p>
            </w:tc>
            <w:tc>
              <w:tcPr>
                <w:tcW w:w="1315" w:type="dxa"/>
              </w:tcPr>
              <w:p w:rsidR="00D02265" w:rsidRDefault="00614D2D"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1.7</w:t>
                </w:r>
              </w:p>
            </w:tc>
          </w:tr>
          <w:tr w:rsidR="00D02265" w:rsidRPr="00C753C1" w:rsidTr="00085D37">
            <w:tc>
              <w:tcPr>
                <w:tcW w:w="1551"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Gbapolu</w:t>
                </w:r>
              </w:p>
            </w:tc>
            <w:tc>
              <w:tcPr>
                <w:tcW w:w="2086"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Bopolu</w:t>
                </w:r>
              </w:p>
            </w:tc>
            <w:tc>
              <w:tcPr>
                <w:tcW w:w="1188" w:type="dxa"/>
              </w:tcPr>
              <w:p w:rsidR="00D02265" w:rsidRPr="00C753C1" w:rsidRDefault="00085D37" w:rsidP="002E48F7">
                <w:pPr>
                  <w:pStyle w:val="NoSpacing"/>
                  <w:spacing w:line="360" w:lineRule="auto"/>
                  <w:jc w:val="both"/>
                  <w:rPr>
                    <w:rFonts w:asciiTheme="majorHAnsi" w:eastAsiaTheme="majorEastAsia" w:hAnsiTheme="majorHAnsi" w:cstheme="majorBidi"/>
                    <w:sz w:val="24"/>
                    <w:szCs w:val="24"/>
                  </w:rPr>
                </w:pPr>
                <w:r w:rsidRPr="000F790B">
                  <w:rPr>
                    <w:sz w:val="24"/>
                    <w:szCs w:val="24"/>
                  </w:rPr>
                  <w:t>81,385</w:t>
                </w:r>
              </w:p>
            </w:tc>
            <w:tc>
              <w:tcPr>
                <w:tcW w:w="15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249,000</w:t>
                </w:r>
              </w:p>
            </w:tc>
            <w:tc>
              <w:tcPr>
                <w:tcW w:w="19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1,230,000</w:t>
                </w:r>
              </w:p>
            </w:tc>
            <w:tc>
              <w:tcPr>
                <w:tcW w:w="1315" w:type="dxa"/>
              </w:tcPr>
              <w:p w:rsidR="00D02265" w:rsidRDefault="00D12DC5"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15.1</w:t>
                </w:r>
              </w:p>
            </w:tc>
          </w:tr>
          <w:tr w:rsidR="00D02265" w:rsidRPr="00C753C1" w:rsidTr="00085D37">
            <w:tc>
              <w:tcPr>
                <w:tcW w:w="1551"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Bong</w:t>
                </w:r>
              </w:p>
            </w:tc>
            <w:tc>
              <w:tcPr>
                <w:tcW w:w="2086"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Jorquelleh</w:t>
                </w:r>
              </w:p>
            </w:tc>
            <w:tc>
              <w:tcPr>
                <w:tcW w:w="1188" w:type="dxa"/>
              </w:tcPr>
              <w:p w:rsidR="00D02265" w:rsidRPr="00C753C1" w:rsidRDefault="005722DF" w:rsidP="002E48F7">
                <w:pPr>
                  <w:pStyle w:val="NoSpacing"/>
                  <w:spacing w:line="360" w:lineRule="auto"/>
                  <w:jc w:val="both"/>
                  <w:rPr>
                    <w:rFonts w:asciiTheme="majorHAnsi" w:eastAsiaTheme="majorEastAsia" w:hAnsiTheme="majorHAnsi" w:cstheme="majorBidi"/>
                    <w:sz w:val="24"/>
                    <w:szCs w:val="24"/>
                  </w:rPr>
                </w:pPr>
                <w:r w:rsidRPr="000F790B">
                  <w:rPr>
                    <w:sz w:val="24"/>
                    <w:szCs w:val="24"/>
                  </w:rPr>
                  <w:t>328,107</w:t>
                </w:r>
              </w:p>
            </w:tc>
            <w:tc>
              <w:tcPr>
                <w:tcW w:w="15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249,000</w:t>
                </w:r>
              </w:p>
            </w:tc>
            <w:tc>
              <w:tcPr>
                <w:tcW w:w="19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367,377</w:t>
                </w:r>
              </w:p>
            </w:tc>
            <w:tc>
              <w:tcPr>
                <w:tcW w:w="1315" w:type="dxa"/>
              </w:tcPr>
              <w:p w:rsidR="00D02265" w:rsidRDefault="002E675B"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1.1</w:t>
                </w:r>
              </w:p>
            </w:tc>
          </w:tr>
          <w:tr w:rsidR="00D02265" w:rsidRPr="00C753C1" w:rsidTr="00085D37">
            <w:tc>
              <w:tcPr>
                <w:tcW w:w="1551"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Bomi</w:t>
                </w:r>
              </w:p>
            </w:tc>
            <w:tc>
              <w:tcPr>
                <w:tcW w:w="2086" w:type="dxa"/>
              </w:tcPr>
              <w:p w:rsidR="00D02265" w:rsidRPr="00C753C1" w:rsidRDefault="00D02265" w:rsidP="00C56E2D">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Klay</w:t>
                </w:r>
              </w:p>
            </w:tc>
            <w:tc>
              <w:tcPr>
                <w:tcW w:w="1188" w:type="dxa"/>
              </w:tcPr>
              <w:p w:rsidR="00D02265" w:rsidRPr="00C753C1" w:rsidRDefault="005722DF" w:rsidP="002E48F7">
                <w:pPr>
                  <w:pStyle w:val="NoSpacing"/>
                  <w:spacing w:line="360" w:lineRule="auto"/>
                  <w:jc w:val="both"/>
                  <w:rPr>
                    <w:rFonts w:asciiTheme="majorHAnsi" w:eastAsiaTheme="majorEastAsia" w:hAnsiTheme="majorHAnsi" w:cstheme="majorBidi"/>
                    <w:sz w:val="24"/>
                    <w:szCs w:val="24"/>
                  </w:rPr>
                </w:pPr>
                <w:r w:rsidRPr="000F790B">
                  <w:rPr>
                    <w:sz w:val="24"/>
                    <w:szCs w:val="24"/>
                  </w:rPr>
                  <w:t>82,032</w:t>
                </w:r>
              </w:p>
            </w:tc>
            <w:tc>
              <w:tcPr>
                <w:tcW w:w="15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sidRPr="00C753C1">
                  <w:rPr>
                    <w:rFonts w:asciiTheme="majorHAnsi" w:eastAsiaTheme="majorEastAsia" w:hAnsiTheme="majorHAnsi" w:cstheme="majorBidi"/>
                    <w:sz w:val="24"/>
                    <w:szCs w:val="24"/>
                  </w:rPr>
                  <w:t>249,000</w:t>
                </w:r>
              </w:p>
            </w:tc>
            <w:tc>
              <w:tcPr>
                <w:tcW w:w="1918" w:type="dxa"/>
              </w:tcPr>
              <w:p w:rsidR="00D02265" w:rsidRPr="00C753C1" w:rsidRDefault="00D02265"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286,796</w:t>
                </w:r>
              </w:p>
            </w:tc>
            <w:tc>
              <w:tcPr>
                <w:tcW w:w="1315" w:type="dxa"/>
              </w:tcPr>
              <w:p w:rsidR="00D02265" w:rsidRDefault="00ED295A"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3.4</w:t>
                </w:r>
              </w:p>
            </w:tc>
          </w:tr>
          <w:tr w:rsidR="00085D37" w:rsidRPr="00C753C1" w:rsidTr="00F3378D">
            <w:tc>
              <w:tcPr>
                <w:tcW w:w="6343" w:type="dxa"/>
                <w:gridSpan w:val="4"/>
              </w:tcPr>
              <w:p w:rsidR="00085D37" w:rsidRPr="00C753C1" w:rsidRDefault="00085D37" w:rsidP="005E4D09">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These appropriations can be traced in the PSIP page 80. Note these allocations projects are proposed for the districts mentioned in this table. </w:t>
                </w:r>
              </w:p>
            </w:tc>
            <w:tc>
              <w:tcPr>
                <w:tcW w:w="1918" w:type="dxa"/>
              </w:tcPr>
              <w:p w:rsidR="00085D37" w:rsidRDefault="00085D37"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These figures can be traced on page 296 of draft national budget </w:t>
                </w:r>
              </w:p>
            </w:tc>
            <w:tc>
              <w:tcPr>
                <w:tcW w:w="1315" w:type="dxa"/>
              </w:tcPr>
              <w:p w:rsidR="00085D37" w:rsidRDefault="006A6B56" w:rsidP="002E48F7">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p>
            </w:tc>
          </w:tr>
        </w:tbl>
        <w:p w:rsidR="0028405D" w:rsidRDefault="0028405D" w:rsidP="00C56E2D">
          <w:pPr>
            <w:pStyle w:val="NoSpacing"/>
            <w:spacing w:line="360" w:lineRule="auto"/>
            <w:jc w:val="both"/>
            <w:rPr>
              <w:rFonts w:asciiTheme="majorHAnsi" w:eastAsiaTheme="majorEastAsia" w:hAnsiTheme="majorHAnsi" w:cstheme="majorBidi"/>
              <w:sz w:val="24"/>
              <w:szCs w:val="24"/>
            </w:rPr>
          </w:pPr>
        </w:p>
        <w:p w:rsidR="0028405D" w:rsidRDefault="0028405D" w:rsidP="00C56E2D">
          <w:pPr>
            <w:pStyle w:val="NoSpacing"/>
            <w:spacing w:line="360" w:lineRule="auto"/>
            <w:jc w:val="both"/>
            <w:rPr>
              <w:rFonts w:asciiTheme="majorHAnsi" w:eastAsiaTheme="majorEastAsia" w:hAnsiTheme="majorHAnsi" w:cstheme="majorBidi"/>
              <w:sz w:val="24"/>
              <w:szCs w:val="24"/>
            </w:rPr>
          </w:pPr>
          <w:r w:rsidRPr="0028405D">
            <w:rPr>
              <w:rFonts w:asciiTheme="majorHAnsi" w:eastAsiaTheme="majorEastAsia" w:hAnsiTheme="majorHAnsi" w:cstheme="majorBidi"/>
              <w:sz w:val="24"/>
              <w:szCs w:val="24"/>
            </w:rPr>
            <w:t xml:space="preserve">Table </w:t>
          </w:r>
          <w:r w:rsidR="00251BA2">
            <w:rPr>
              <w:rFonts w:asciiTheme="majorHAnsi" w:eastAsiaTheme="majorEastAsia" w:hAnsiTheme="majorHAnsi" w:cstheme="majorBidi"/>
              <w:sz w:val="24"/>
              <w:szCs w:val="24"/>
            </w:rPr>
            <w:t xml:space="preserve">6: </w:t>
          </w:r>
          <w:r w:rsidR="00F71E3E">
            <w:rPr>
              <w:rFonts w:asciiTheme="majorHAnsi" w:eastAsiaTheme="majorEastAsia" w:hAnsiTheme="majorHAnsi" w:cstheme="majorBidi"/>
              <w:sz w:val="24"/>
              <w:szCs w:val="24"/>
            </w:rPr>
            <w:t xml:space="preserve">Education </w:t>
          </w:r>
          <w:r w:rsidR="00251BA2">
            <w:rPr>
              <w:rFonts w:asciiTheme="majorHAnsi" w:eastAsiaTheme="majorEastAsia" w:hAnsiTheme="majorHAnsi" w:cstheme="majorBidi"/>
              <w:sz w:val="24"/>
              <w:szCs w:val="24"/>
            </w:rPr>
            <w:t>University and Technical E</w:t>
          </w:r>
          <w:r w:rsidRPr="0028405D">
            <w:rPr>
              <w:rFonts w:asciiTheme="majorHAnsi" w:eastAsiaTheme="majorEastAsia" w:hAnsiTheme="majorHAnsi" w:cstheme="majorBidi"/>
              <w:sz w:val="24"/>
              <w:szCs w:val="24"/>
            </w:rPr>
            <w:t xml:space="preserve">ducation </w:t>
          </w:r>
          <w:r w:rsidR="00F71E3E">
            <w:rPr>
              <w:rFonts w:asciiTheme="majorHAnsi" w:eastAsiaTheme="majorEastAsia" w:hAnsiTheme="majorHAnsi" w:cstheme="majorBidi"/>
              <w:sz w:val="24"/>
              <w:szCs w:val="24"/>
            </w:rPr>
            <w:t xml:space="preserve">Allocation </w:t>
          </w:r>
        </w:p>
        <w:tbl>
          <w:tblPr>
            <w:tblStyle w:val="TableGrid"/>
            <w:tblW w:w="0" w:type="auto"/>
            <w:tblLook w:val="04A0" w:firstRow="1" w:lastRow="0" w:firstColumn="1" w:lastColumn="0" w:noHBand="0" w:noVBand="1"/>
          </w:tblPr>
          <w:tblGrid>
            <w:gridCol w:w="1818"/>
            <w:gridCol w:w="2520"/>
            <w:gridCol w:w="2844"/>
            <w:gridCol w:w="2394"/>
          </w:tblGrid>
          <w:tr w:rsidR="00110D9D" w:rsidTr="00F71E3E">
            <w:tc>
              <w:tcPr>
                <w:tcW w:w="1818" w:type="dxa"/>
              </w:tcPr>
              <w:p w:rsidR="00110D9D" w:rsidRDefault="00110D9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County</w:t>
                </w:r>
              </w:p>
            </w:tc>
            <w:tc>
              <w:tcPr>
                <w:tcW w:w="2520" w:type="dxa"/>
              </w:tcPr>
              <w:p w:rsidR="00110D9D" w:rsidRDefault="00110D9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District</w:t>
                </w:r>
              </w:p>
            </w:tc>
            <w:tc>
              <w:tcPr>
                <w:tcW w:w="2844" w:type="dxa"/>
              </w:tcPr>
              <w:p w:rsidR="00110D9D" w:rsidRDefault="00110D9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Institution</w:t>
                </w:r>
              </w:p>
            </w:tc>
            <w:tc>
              <w:tcPr>
                <w:tcW w:w="2394" w:type="dxa"/>
              </w:tcPr>
              <w:p w:rsidR="00110D9D" w:rsidRDefault="00110D9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12/13 Budget</w:t>
                </w:r>
              </w:p>
            </w:tc>
          </w:tr>
          <w:tr w:rsidR="00110D9D" w:rsidTr="00F71E3E">
            <w:tc>
              <w:tcPr>
                <w:tcW w:w="1818" w:type="dxa"/>
              </w:tcPr>
              <w:p w:rsidR="00110D9D" w:rsidRDefault="0048039B" w:rsidP="00110D9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Montserrado</w:t>
                </w:r>
              </w:p>
            </w:tc>
            <w:tc>
              <w:tcPr>
                <w:tcW w:w="2520" w:type="dxa"/>
              </w:tcPr>
              <w:p w:rsidR="00110D9D" w:rsidRDefault="00110D9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Greater Monrovia</w:t>
                </w:r>
              </w:p>
            </w:tc>
            <w:tc>
              <w:tcPr>
                <w:tcW w:w="2844" w:type="dxa"/>
              </w:tcPr>
              <w:p w:rsidR="00110D9D" w:rsidRDefault="00110D9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University of Liberia</w:t>
                </w:r>
              </w:p>
            </w:tc>
            <w:tc>
              <w:tcPr>
                <w:tcW w:w="2394" w:type="dxa"/>
              </w:tcPr>
              <w:p w:rsidR="00110D9D" w:rsidRDefault="00110D9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10,448,956</w:t>
                </w:r>
              </w:p>
            </w:tc>
          </w:tr>
          <w:tr w:rsidR="00110D9D" w:rsidTr="00F71E3E">
            <w:tc>
              <w:tcPr>
                <w:tcW w:w="1818" w:type="dxa"/>
              </w:tcPr>
              <w:p w:rsidR="00110D9D" w:rsidRDefault="00110D9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Margibi</w:t>
                </w:r>
              </w:p>
            </w:tc>
            <w:tc>
              <w:tcPr>
                <w:tcW w:w="2520" w:type="dxa"/>
              </w:tcPr>
              <w:p w:rsidR="00110D9D" w:rsidRDefault="00110D9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Kakata</w:t>
                </w:r>
              </w:p>
            </w:tc>
            <w:tc>
              <w:tcPr>
                <w:tcW w:w="2844" w:type="dxa"/>
              </w:tcPr>
              <w:p w:rsidR="00110D9D" w:rsidRDefault="00110D9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Booker Washington Institution</w:t>
                </w:r>
              </w:p>
            </w:tc>
            <w:tc>
              <w:tcPr>
                <w:tcW w:w="2394" w:type="dxa"/>
              </w:tcPr>
              <w:p w:rsidR="00110D9D" w:rsidRDefault="00110D9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1,854,003</w:t>
                </w:r>
              </w:p>
            </w:tc>
          </w:tr>
          <w:tr w:rsidR="00110D9D" w:rsidTr="00F71E3E">
            <w:tc>
              <w:tcPr>
                <w:tcW w:w="1818" w:type="dxa"/>
              </w:tcPr>
              <w:p w:rsidR="00110D9D" w:rsidRDefault="00110D9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Bong </w:t>
                </w:r>
              </w:p>
            </w:tc>
            <w:tc>
              <w:tcPr>
                <w:tcW w:w="2520" w:type="dxa"/>
              </w:tcPr>
              <w:p w:rsidR="00110D9D" w:rsidRDefault="00110D9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Suakoko</w:t>
                </w:r>
              </w:p>
            </w:tc>
            <w:tc>
              <w:tcPr>
                <w:tcW w:w="2844" w:type="dxa"/>
              </w:tcPr>
              <w:p w:rsidR="00110D9D" w:rsidRDefault="00110D9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Cuttington University College</w:t>
                </w:r>
              </w:p>
            </w:tc>
            <w:tc>
              <w:tcPr>
                <w:tcW w:w="2394" w:type="dxa"/>
              </w:tcPr>
              <w:p w:rsidR="00110D9D" w:rsidRDefault="00110D9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740,275</w:t>
                </w:r>
              </w:p>
            </w:tc>
          </w:tr>
          <w:tr w:rsidR="00110D9D" w:rsidTr="00F71E3E">
            <w:tc>
              <w:tcPr>
                <w:tcW w:w="1818" w:type="dxa"/>
              </w:tcPr>
              <w:p w:rsidR="00110D9D" w:rsidRDefault="00110D9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Maryland</w:t>
                </w:r>
              </w:p>
            </w:tc>
            <w:tc>
              <w:tcPr>
                <w:tcW w:w="2520" w:type="dxa"/>
              </w:tcPr>
              <w:p w:rsidR="00110D9D" w:rsidRDefault="00110D9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Harper</w:t>
                </w:r>
              </w:p>
            </w:tc>
            <w:tc>
              <w:tcPr>
                <w:tcW w:w="2844" w:type="dxa"/>
              </w:tcPr>
              <w:p w:rsidR="00110D9D" w:rsidRDefault="00110D9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Williams Tubman University</w:t>
                </w:r>
              </w:p>
            </w:tc>
            <w:tc>
              <w:tcPr>
                <w:tcW w:w="2394" w:type="dxa"/>
              </w:tcPr>
              <w:p w:rsidR="00110D9D" w:rsidRDefault="00110D9D"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3,435,000</w:t>
                </w:r>
              </w:p>
            </w:tc>
          </w:tr>
          <w:tr w:rsidR="00110D9D" w:rsidTr="00F71E3E">
            <w:tc>
              <w:tcPr>
                <w:tcW w:w="1818" w:type="dxa"/>
              </w:tcPr>
              <w:p w:rsidR="00110D9D" w:rsidRDefault="009A40F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Lofa</w:t>
                </w:r>
              </w:p>
            </w:tc>
            <w:tc>
              <w:tcPr>
                <w:tcW w:w="2520" w:type="dxa"/>
              </w:tcPr>
              <w:p w:rsidR="00110D9D" w:rsidRDefault="009A40F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Zorzor</w:t>
                </w:r>
              </w:p>
            </w:tc>
            <w:tc>
              <w:tcPr>
                <w:tcW w:w="2844" w:type="dxa"/>
              </w:tcPr>
              <w:p w:rsidR="00110D9D" w:rsidRDefault="009A40F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Zorzor Rural Teacher Training Institution</w:t>
                </w:r>
              </w:p>
            </w:tc>
            <w:tc>
              <w:tcPr>
                <w:tcW w:w="2394" w:type="dxa"/>
              </w:tcPr>
              <w:p w:rsidR="00110D9D" w:rsidRDefault="009A40F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475,688</w:t>
                </w:r>
              </w:p>
            </w:tc>
          </w:tr>
          <w:tr w:rsidR="009A40F6" w:rsidTr="00F71E3E">
            <w:tc>
              <w:tcPr>
                <w:tcW w:w="1818" w:type="dxa"/>
              </w:tcPr>
              <w:p w:rsidR="009A40F6" w:rsidRDefault="009A40F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Maryland</w:t>
                </w:r>
              </w:p>
            </w:tc>
            <w:tc>
              <w:tcPr>
                <w:tcW w:w="2520" w:type="dxa"/>
              </w:tcPr>
              <w:p w:rsidR="009A40F6" w:rsidRDefault="009A40F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Webbo</w:t>
                </w:r>
              </w:p>
            </w:tc>
            <w:tc>
              <w:tcPr>
                <w:tcW w:w="2844" w:type="dxa"/>
              </w:tcPr>
              <w:p w:rsidR="009A40F6" w:rsidRDefault="009A40F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Webbo Rural Teacher Training Institute</w:t>
                </w:r>
              </w:p>
            </w:tc>
            <w:tc>
              <w:tcPr>
                <w:tcW w:w="2394" w:type="dxa"/>
              </w:tcPr>
              <w:p w:rsidR="009A40F6" w:rsidRDefault="009A40F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685,530</w:t>
                </w:r>
              </w:p>
            </w:tc>
          </w:tr>
          <w:tr w:rsidR="009A40F6" w:rsidTr="00F71E3E">
            <w:tc>
              <w:tcPr>
                <w:tcW w:w="1818" w:type="dxa"/>
              </w:tcPr>
              <w:p w:rsidR="009A40F6" w:rsidRDefault="009A40F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Margibi</w:t>
                </w:r>
              </w:p>
            </w:tc>
            <w:tc>
              <w:tcPr>
                <w:tcW w:w="2520" w:type="dxa"/>
              </w:tcPr>
              <w:p w:rsidR="009A40F6" w:rsidRDefault="009A40F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Kakata</w:t>
                </w:r>
              </w:p>
            </w:tc>
            <w:tc>
              <w:tcPr>
                <w:tcW w:w="2844" w:type="dxa"/>
              </w:tcPr>
              <w:p w:rsidR="009A40F6" w:rsidRDefault="009A40F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Kakata Rural Teacher Training Institute</w:t>
                </w:r>
              </w:p>
            </w:tc>
            <w:tc>
              <w:tcPr>
                <w:tcW w:w="2394" w:type="dxa"/>
              </w:tcPr>
              <w:p w:rsidR="009A40F6" w:rsidRDefault="009A40F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611,824</w:t>
                </w:r>
              </w:p>
            </w:tc>
          </w:tr>
          <w:tr w:rsidR="009A40F6" w:rsidTr="00F71E3E">
            <w:tc>
              <w:tcPr>
                <w:tcW w:w="1818" w:type="dxa"/>
              </w:tcPr>
              <w:p w:rsidR="009A40F6" w:rsidRDefault="009A40F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Grand Bassa</w:t>
                </w:r>
              </w:p>
            </w:tc>
            <w:tc>
              <w:tcPr>
                <w:tcW w:w="2520" w:type="dxa"/>
              </w:tcPr>
              <w:p w:rsidR="009A40F6" w:rsidRDefault="009A40F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Buchanna</w:t>
                </w:r>
              </w:p>
            </w:tc>
            <w:tc>
              <w:tcPr>
                <w:tcW w:w="2844" w:type="dxa"/>
              </w:tcPr>
              <w:p w:rsidR="009A40F6" w:rsidRDefault="009A40F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Bassa Community </w:t>
                </w:r>
                <w:r>
                  <w:rPr>
                    <w:rFonts w:asciiTheme="majorHAnsi" w:eastAsiaTheme="majorEastAsia" w:hAnsiTheme="majorHAnsi" w:cstheme="majorBidi"/>
                    <w:sz w:val="24"/>
                    <w:szCs w:val="24"/>
                  </w:rPr>
                  <w:lastRenderedPageBreak/>
                  <w:t>College</w:t>
                </w:r>
              </w:p>
            </w:tc>
            <w:tc>
              <w:tcPr>
                <w:tcW w:w="2394" w:type="dxa"/>
              </w:tcPr>
              <w:p w:rsidR="009A40F6" w:rsidRDefault="009A40F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lastRenderedPageBreak/>
                  <w:t>600,000</w:t>
                </w:r>
              </w:p>
            </w:tc>
          </w:tr>
          <w:tr w:rsidR="009A40F6" w:rsidTr="00F71E3E">
            <w:tc>
              <w:tcPr>
                <w:tcW w:w="1818" w:type="dxa"/>
              </w:tcPr>
              <w:p w:rsidR="009A40F6" w:rsidRDefault="009A40F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Bomi</w:t>
                </w:r>
              </w:p>
            </w:tc>
            <w:tc>
              <w:tcPr>
                <w:tcW w:w="2520" w:type="dxa"/>
              </w:tcPr>
              <w:p w:rsidR="009A40F6" w:rsidRDefault="009A40F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Tubmanburg</w:t>
                </w:r>
              </w:p>
            </w:tc>
            <w:tc>
              <w:tcPr>
                <w:tcW w:w="2844" w:type="dxa"/>
              </w:tcPr>
              <w:p w:rsidR="009A40F6" w:rsidRDefault="009A40F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Bomi Community College</w:t>
                </w:r>
              </w:p>
            </w:tc>
            <w:tc>
              <w:tcPr>
                <w:tcW w:w="2394" w:type="dxa"/>
              </w:tcPr>
              <w:p w:rsidR="009A40F6" w:rsidRDefault="009A40F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175,000</w:t>
                </w:r>
              </w:p>
            </w:tc>
          </w:tr>
          <w:tr w:rsidR="009A40F6" w:rsidTr="00F71E3E">
            <w:tc>
              <w:tcPr>
                <w:tcW w:w="1818" w:type="dxa"/>
              </w:tcPr>
              <w:p w:rsidR="009A40F6" w:rsidRDefault="009A40F6"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Bong</w:t>
                </w:r>
              </w:p>
            </w:tc>
            <w:tc>
              <w:tcPr>
                <w:tcW w:w="2520" w:type="dxa"/>
              </w:tcPr>
              <w:p w:rsidR="009A40F6" w:rsidRDefault="00003AFA"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Gbanga</w:t>
                </w:r>
              </w:p>
            </w:tc>
            <w:tc>
              <w:tcPr>
                <w:tcW w:w="2844" w:type="dxa"/>
              </w:tcPr>
              <w:p w:rsidR="009A40F6" w:rsidRDefault="00003AFA"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Gboveh Community College</w:t>
                </w:r>
              </w:p>
            </w:tc>
            <w:tc>
              <w:tcPr>
                <w:tcW w:w="2394" w:type="dxa"/>
              </w:tcPr>
              <w:p w:rsidR="009A40F6" w:rsidRDefault="00003AFA"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150,000</w:t>
                </w:r>
              </w:p>
            </w:tc>
          </w:tr>
          <w:tr w:rsidR="00003AFA" w:rsidTr="00F71E3E">
            <w:tc>
              <w:tcPr>
                <w:tcW w:w="1818" w:type="dxa"/>
              </w:tcPr>
              <w:p w:rsidR="00003AFA" w:rsidRDefault="00003AFA"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Grand Kru</w:t>
                </w:r>
              </w:p>
            </w:tc>
            <w:tc>
              <w:tcPr>
                <w:tcW w:w="2520" w:type="dxa"/>
              </w:tcPr>
              <w:p w:rsidR="00003AFA" w:rsidRDefault="00003AFA"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Barclayville</w:t>
                </w:r>
              </w:p>
            </w:tc>
            <w:tc>
              <w:tcPr>
                <w:tcW w:w="2844" w:type="dxa"/>
              </w:tcPr>
              <w:p w:rsidR="00003AFA" w:rsidRDefault="00003AFA"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Grand Kru Community College</w:t>
                </w:r>
              </w:p>
            </w:tc>
            <w:tc>
              <w:tcPr>
                <w:tcW w:w="2394" w:type="dxa"/>
              </w:tcPr>
              <w:p w:rsidR="00003AFA" w:rsidRDefault="00003AFA"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250,000</w:t>
                </w:r>
              </w:p>
            </w:tc>
          </w:tr>
          <w:tr w:rsidR="00003AFA" w:rsidTr="00F71E3E">
            <w:tc>
              <w:tcPr>
                <w:tcW w:w="1818" w:type="dxa"/>
              </w:tcPr>
              <w:p w:rsidR="00003AFA" w:rsidRDefault="00003AFA"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Nimba</w:t>
                </w:r>
              </w:p>
            </w:tc>
            <w:tc>
              <w:tcPr>
                <w:tcW w:w="2520" w:type="dxa"/>
              </w:tcPr>
              <w:p w:rsidR="00003AFA" w:rsidRDefault="00003AFA"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Sanniquellie</w:t>
                </w:r>
              </w:p>
            </w:tc>
            <w:tc>
              <w:tcPr>
                <w:tcW w:w="2844" w:type="dxa"/>
              </w:tcPr>
              <w:p w:rsidR="00003AFA" w:rsidRDefault="00003AFA"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Nimba Community College</w:t>
                </w:r>
              </w:p>
            </w:tc>
            <w:tc>
              <w:tcPr>
                <w:tcW w:w="2394" w:type="dxa"/>
              </w:tcPr>
              <w:p w:rsidR="00003AFA" w:rsidRDefault="00003AFA"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250,000</w:t>
                </w:r>
              </w:p>
            </w:tc>
          </w:tr>
          <w:tr w:rsidR="00003AFA" w:rsidTr="00F71E3E">
            <w:tc>
              <w:tcPr>
                <w:tcW w:w="1818" w:type="dxa"/>
              </w:tcPr>
              <w:p w:rsidR="00003AFA" w:rsidRDefault="00003AFA"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Lofa</w:t>
                </w:r>
              </w:p>
            </w:tc>
            <w:tc>
              <w:tcPr>
                <w:tcW w:w="2520" w:type="dxa"/>
              </w:tcPr>
              <w:p w:rsidR="00003AFA" w:rsidRDefault="00003AFA"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Voinjama</w:t>
                </w:r>
              </w:p>
            </w:tc>
            <w:tc>
              <w:tcPr>
                <w:tcW w:w="2844" w:type="dxa"/>
              </w:tcPr>
              <w:p w:rsidR="00003AFA" w:rsidRDefault="00003AFA"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Lofa Community College</w:t>
                </w:r>
              </w:p>
            </w:tc>
            <w:tc>
              <w:tcPr>
                <w:tcW w:w="2394" w:type="dxa"/>
              </w:tcPr>
              <w:p w:rsidR="00003AFA" w:rsidRDefault="00003AFA"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250,000</w:t>
                </w:r>
              </w:p>
            </w:tc>
          </w:tr>
          <w:tr w:rsidR="00003AFA" w:rsidTr="00F71E3E">
            <w:tc>
              <w:tcPr>
                <w:tcW w:w="1818" w:type="dxa"/>
              </w:tcPr>
              <w:p w:rsidR="00003AFA" w:rsidRDefault="00003AFA"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Bong</w:t>
                </w:r>
              </w:p>
            </w:tc>
            <w:tc>
              <w:tcPr>
                <w:tcW w:w="2520" w:type="dxa"/>
              </w:tcPr>
              <w:p w:rsidR="00003AFA" w:rsidRDefault="00003AFA"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Gbanga</w:t>
                </w:r>
              </w:p>
            </w:tc>
            <w:tc>
              <w:tcPr>
                <w:tcW w:w="2844" w:type="dxa"/>
              </w:tcPr>
              <w:p w:rsidR="00003AFA" w:rsidRDefault="00003AFA"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Bong Community College</w:t>
                </w:r>
              </w:p>
            </w:tc>
            <w:tc>
              <w:tcPr>
                <w:tcW w:w="2394" w:type="dxa"/>
              </w:tcPr>
              <w:p w:rsidR="00003AFA" w:rsidRDefault="00003AFA"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0</w:t>
                </w:r>
              </w:p>
            </w:tc>
          </w:tr>
          <w:tr w:rsidR="00003AFA" w:rsidTr="00F71E3E">
            <w:tc>
              <w:tcPr>
                <w:tcW w:w="1818" w:type="dxa"/>
              </w:tcPr>
              <w:p w:rsidR="00003AFA" w:rsidRDefault="00003AFA"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Montserrado</w:t>
                </w:r>
              </w:p>
            </w:tc>
            <w:tc>
              <w:tcPr>
                <w:tcW w:w="2520" w:type="dxa"/>
              </w:tcPr>
              <w:p w:rsidR="00003AFA" w:rsidRDefault="00003AFA"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Paynesville</w:t>
                </w:r>
              </w:p>
            </w:tc>
            <w:tc>
              <w:tcPr>
                <w:tcW w:w="2844" w:type="dxa"/>
              </w:tcPr>
              <w:p w:rsidR="00003AFA" w:rsidRDefault="00003AFA"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Agricultural Industrial </w:t>
                </w:r>
                <w:r w:rsidR="00592021">
                  <w:rPr>
                    <w:rFonts w:asciiTheme="majorHAnsi" w:eastAsiaTheme="majorEastAsia" w:hAnsiTheme="majorHAnsi" w:cstheme="majorBidi"/>
                    <w:sz w:val="24"/>
                    <w:szCs w:val="24"/>
                  </w:rPr>
                  <w:t>Training Bureau</w:t>
                </w:r>
              </w:p>
            </w:tc>
            <w:tc>
              <w:tcPr>
                <w:tcW w:w="2394" w:type="dxa"/>
              </w:tcPr>
              <w:p w:rsidR="00003AFA" w:rsidRDefault="00592021"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274,895</w:t>
                </w:r>
              </w:p>
            </w:tc>
          </w:tr>
          <w:tr w:rsidR="00AD06D3" w:rsidTr="00F71E3E">
            <w:tc>
              <w:tcPr>
                <w:tcW w:w="1818" w:type="dxa"/>
              </w:tcPr>
              <w:p w:rsidR="00AD06D3" w:rsidRDefault="00AD06D3"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Montserrado </w:t>
                </w:r>
              </w:p>
            </w:tc>
            <w:tc>
              <w:tcPr>
                <w:tcW w:w="2520" w:type="dxa"/>
              </w:tcPr>
              <w:p w:rsidR="00AD06D3" w:rsidRDefault="00AD06D3"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Monrovia </w:t>
                </w:r>
              </w:p>
            </w:tc>
            <w:tc>
              <w:tcPr>
                <w:tcW w:w="2844" w:type="dxa"/>
              </w:tcPr>
              <w:p w:rsidR="00AD06D3" w:rsidRDefault="00AD06D3"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MCSS</w:t>
                </w:r>
              </w:p>
            </w:tc>
            <w:tc>
              <w:tcPr>
                <w:tcW w:w="2394" w:type="dxa"/>
              </w:tcPr>
              <w:p w:rsidR="00AD06D3" w:rsidRDefault="00AD06D3"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3,167,943</w:t>
                </w:r>
              </w:p>
            </w:tc>
          </w:tr>
          <w:tr w:rsidR="00861495" w:rsidTr="002E48F7">
            <w:tc>
              <w:tcPr>
                <w:tcW w:w="9576" w:type="dxa"/>
                <w:gridSpan w:val="4"/>
              </w:tcPr>
              <w:p w:rsidR="00861495" w:rsidRDefault="00861495"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You can locate these figures on page 386 to 428 in the draft Medium Term National Budget </w:t>
                </w:r>
              </w:p>
            </w:tc>
          </w:tr>
        </w:tbl>
        <w:p w:rsidR="0028405D" w:rsidRPr="0028405D" w:rsidRDefault="0028405D" w:rsidP="00C56E2D">
          <w:pPr>
            <w:pStyle w:val="NoSpacing"/>
            <w:spacing w:line="360" w:lineRule="auto"/>
            <w:jc w:val="both"/>
            <w:rPr>
              <w:rFonts w:asciiTheme="majorHAnsi" w:eastAsiaTheme="majorEastAsia" w:hAnsiTheme="majorHAnsi" w:cstheme="majorBidi"/>
              <w:sz w:val="24"/>
              <w:szCs w:val="24"/>
            </w:rPr>
          </w:pPr>
        </w:p>
        <w:p w:rsidR="00B51A9A" w:rsidRDefault="001E2262" w:rsidP="00C56E2D">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As you will also see in Table 1</w:t>
          </w:r>
          <w:r w:rsidR="00B34197">
            <w:rPr>
              <w:rFonts w:asciiTheme="majorHAnsi" w:eastAsiaTheme="majorEastAsia" w:hAnsiTheme="majorHAnsi" w:cstheme="majorBidi"/>
              <w:sz w:val="24"/>
              <w:szCs w:val="24"/>
            </w:rPr>
            <w:t>, 2</w:t>
          </w:r>
          <w:r w:rsidR="00CD04A0">
            <w:rPr>
              <w:rFonts w:asciiTheme="majorHAnsi" w:eastAsiaTheme="majorEastAsia" w:hAnsiTheme="majorHAnsi" w:cstheme="majorBidi"/>
              <w:sz w:val="24"/>
              <w:szCs w:val="24"/>
            </w:rPr>
            <w:t>, 3, 5</w:t>
          </w:r>
          <w:r>
            <w:rPr>
              <w:rFonts w:asciiTheme="majorHAnsi" w:eastAsiaTheme="majorEastAsia" w:hAnsiTheme="majorHAnsi" w:cstheme="majorBidi"/>
              <w:sz w:val="24"/>
              <w:szCs w:val="24"/>
            </w:rPr>
            <w:t xml:space="preserve"> and </w:t>
          </w:r>
          <w:r w:rsidR="00CD04A0">
            <w:rPr>
              <w:rFonts w:asciiTheme="majorHAnsi" w:eastAsiaTheme="majorEastAsia" w:hAnsiTheme="majorHAnsi" w:cstheme="majorBidi"/>
              <w:sz w:val="24"/>
              <w:szCs w:val="24"/>
            </w:rPr>
            <w:t>6</w:t>
          </w:r>
          <w:r>
            <w:rPr>
              <w:rFonts w:asciiTheme="majorHAnsi" w:eastAsiaTheme="majorEastAsia" w:hAnsiTheme="majorHAnsi" w:cstheme="majorBidi"/>
              <w:sz w:val="24"/>
              <w:szCs w:val="24"/>
            </w:rPr>
            <w:t xml:space="preserve"> above, projects for each county and district cost the same amount. This system of appropriation raises more questions than answers; one may want to ask whether the projects in each county are the same for which they cost the same amount? </w:t>
          </w:r>
          <w:r w:rsidR="00E726A2">
            <w:rPr>
              <w:rFonts w:asciiTheme="majorHAnsi" w:eastAsiaTheme="majorEastAsia" w:hAnsiTheme="majorHAnsi" w:cstheme="majorBidi"/>
              <w:sz w:val="24"/>
              <w:szCs w:val="24"/>
            </w:rPr>
            <w:t>And others</w:t>
          </w:r>
          <w:r>
            <w:rPr>
              <w:rFonts w:asciiTheme="majorHAnsi" w:eastAsiaTheme="majorEastAsia" w:hAnsiTheme="majorHAnsi" w:cstheme="majorBidi"/>
              <w:sz w:val="24"/>
              <w:szCs w:val="24"/>
            </w:rPr>
            <w:t xml:space="preserve"> would want to inquire if the cost of project materials will not differ from county </w:t>
          </w:r>
          <w:r w:rsidR="00B34197">
            <w:rPr>
              <w:rFonts w:asciiTheme="majorHAnsi" w:eastAsiaTheme="majorEastAsia" w:hAnsiTheme="majorHAnsi" w:cstheme="majorBidi"/>
              <w:sz w:val="24"/>
              <w:szCs w:val="24"/>
            </w:rPr>
            <w:t xml:space="preserve">to county </w:t>
          </w:r>
          <w:r>
            <w:rPr>
              <w:rFonts w:asciiTheme="majorHAnsi" w:eastAsiaTheme="majorEastAsia" w:hAnsiTheme="majorHAnsi" w:cstheme="majorBidi"/>
              <w:sz w:val="24"/>
              <w:szCs w:val="24"/>
            </w:rPr>
            <w:t xml:space="preserve">considering different variables including transportation, human resources, design of projects etc? </w:t>
          </w:r>
        </w:p>
        <w:p w:rsidR="00211A97" w:rsidRPr="00211A97" w:rsidRDefault="00211A97" w:rsidP="00C56E2D">
          <w:pPr>
            <w:pStyle w:val="NoSpacing"/>
            <w:spacing w:line="360" w:lineRule="auto"/>
            <w:jc w:val="both"/>
            <w:rPr>
              <w:rFonts w:asciiTheme="majorHAnsi" w:eastAsiaTheme="majorEastAsia" w:hAnsiTheme="majorHAnsi" w:cstheme="majorBidi"/>
              <w:sz w:val="14"/>
              <w:szCs w:val="24"/>
            </w:rPr>
          </w:pPr>
        </w:p>
        <w:p w:rsidR="00B506DF" w:rsidRPr="001C0BA2" w:rsidRDefault="00B506DF" w:rsidP="001C0BA2">
          <w:pPr>
            <w:pStyle w:val="NoSpacing"/>
            <w:spacing w:line="360" w:lineRule="auto"/>
            <w:jc w:val="both"/>
            <w:rPr>
              <w:rFonts w:asciiTheme="majorHAnsi" w:eastAsia="Calibri" w:hAnsiTheme="majorHAnsi" w:cs="Calibri"/>
              <w:sz w:val="24"/>
              <w:szCs w:val="24"/>
            </w:rPr>
          </w:pPr>
          <w:r w:rsidRPr="001C0BA2">
            <w:rPr>
              <w:rFonts w:asciiTheme="majorHAnsi" w:hAnsiTheme="majorHAnsi" w:cs="Frutiger-Light"/>
              <w:sz w:val="24"/>
              <w:szCs w:val="24"/>
            </w:rPr>
            <w:t xml:space="preserve">Specifically for the health sector, Liberia Compliance with International Treaties and Agreements is still little far from been realize. </w:t>
          </w:r>
          <w:r w:rsidRPr="001C0BA2">
            <w:rPr>
              <w:rFonts w:asciiTheme="majorHAnsi" w:eastAsia="Calibri" w:hAnsiTheme="majorHAnsi" w:cs="Calibri"/>
              <w:sz w:val="24"/>
              <w:szCs w:val="24"/>
            </w:rPr>
            <w:t xml:space="preserve">In April 2001, Heads of State and Governments of the African Union (AU) Member states met in Abuja and committed to allocate 15% of their National Budget to the Health Sector. This commitment was re-affirmed at a Special Summit in 2006 and at the 15th Session of the Ordinary AU Assembly in July 2010. Only </w:t>
          </w:r>
          <w:r w:rsidRPr="001C0BA2">
            <w:rPr>
              <w:rFonts w:asciiTheme="majorHAnsi" w:eastAsia="Calibri" w:hAnsiTheme="majorHAnsi" w:cs="Calibri"/>
              <w:b/>
              <w:bCs/>
              <w:sz w:val="24"/>
              <w:szCs w:val="24"/>
            </w:rPr>
            <w:t xml:space="preserve">six (6) </w:t>
          </w:r>
          <w:r w:rsidRPr="001C0BA2">
            <w:rPr>
              <w:rFonts w:asciiTheme="majorHAnsi" w:eastAsia="Calibri" w:hAnsiTheme="majorHAnsi" w:cs="Calibri"/>
              <w:sz w:val="24"/>
              <w:szCs w:val="24"/>
            </w:rPr>
            <w:t xml:space="preserve">AU Member States have met the </w:t>
          </w:r>
          <w:r w:rsidRPr="001C0BA2">
            <w:rPr>
              <w:rFonts w:asciiTheme="majorHAnsi" w:eastAsia="Calibri" w:hAnsiTheme="majorHAnsi" w:cs="Calibri"/>
              <w:b/>
              <w:bCs/>
              <w:sz w:val="24"/>
              <w:szCs w:val="24"/>
            </w:rPr>
            <w:t xml:space="preserve">15% </w:t>
          </w:r>
          <w:r w:rsidRPr="001C0BA2">
            <w:rPr>
              <w:rFonts w:asciiTheme="majorHAnsi" w:eastAsia="Calibri" w:hAnsiTheme="majorHAnsi" w:cs="Calibri"/>
              <w:sz w:val="24"/>
              <w:szCs w:val="24"/>
            </w:rPr>
            <w:t>benchmark: Rwanda (</w:t>
          </w:r>
          <w:r w:rsidRPr="001C0BA2">
            <w:rPr>
              <w:rFonts w:asciiTheme="majorHAnsi" w:eastAsia="Calibri" w:hAnsiTheme="majorHAnsi" w:cs="Calibri"/>
              <w:b/>
              <w:bCs/>
              <w:sz w:val="24"/>
              <w:szCs w:val="24"/>
            </w:rPr>
            <w:t>18.8%</w:t>
          </w:r>
          <w:r w:rsidRPr="001C0BA2">
            <w:rPr>
              <w:rFonts w:asciiTheme="majorHAnsi" w:eastAsia="Calibri" w:hAnsiTheme="majorHAnsi" w:cs="Calibri"/>
              <w:sz w:val="24"/>
              <w:szCs w:val="24"/>
            </w:rPr>
            <w:t>); Botswana (</w:t>
          </w:r>
          <w:r w:rsidRPr="001C0BA2">
            <w:rPr>
              <w:rFonts w:asciiTheme="majorHAnsi" w:eastAsia="Calibri" w:hAnsiTheme="majorHAnsi" w:cs="Calibri"/>
              <w:b/>
              <w:bCs/>
              <w:sz w:val="24"/>
              <w:szCs w:val="24"/>
            </w:rPr>
            <w:t>17.8%</w:t>
          </w:r>
          <w:r w:rsidRPr="001C0BA2">
            <w:rPr>
              <w:rFonts w:asciiTheme="majorHAnsi" w:eastAsia="Calibri" w:hAnsiTheme="majorHAnsi" w:cs="Calibri"/>
              <w:sz w:val="24"/>
              <w:szCs w:val="24"/>
            </w:rPr>
            <w:t>); Niger (</w:t>
          </w:r>
          <w:r w:rsidRPr="001C0BA2">
            <w:rPr>
              <w:rFonts w:asciiTheme="majorHAnsi" w:eastAsia="Calibri" w:hAnsiTheme="majorHAnsi" w:cs="Calibri"/>
              <w:b/>
              <w:bCs/>
              <w:sz w:val="24"/>
              <w:szCs w:val="24"/>
            </w:rPr>
            <w:t>17.8%</w:t>
          </w:r>
          <w:r w:rsidRPr="001C0BA2">
            <w:rPr>
              <w:rFonts w:asciiTheme="majorHAnsi" w:eastAsia="Calibri" w:hAnsiTheme="majorHAnsi" w:cs="Calibri"/>
              <w:sz w:val="24"/>
              <w:szCs w:val="24"/>
            </w:rPr>
            <w:t>); Malawi (</w:t>
          </w:r>
          <w:r w:rsidRPr="001C0BA2">
            <w:rPr>
              <w:rFonts w:asciiTheme="majorHAnsi" w:eastAsia="Calibri" w:hAnsiTheme="majorHAnsi" w:cs="Calibri"/>
              <w:b/>
              <w:bCs/>
              <w:sz w:val="24"/>
              <w:szCs w:val="24"/>
            </w:rPr>
            <w:t>17.1%</w:t>
          </w:r>
          <w:r w:rsidRPr="001C0BA2">
            <w:rPr>
              <w:rFonts w:asciiTheme="majorHAnsi" w:eastAsia="Calibri" w:hAnsiTheme="majorHAnsi" w:cs="Calibri"/>
              <w:sz w:val="24"/>
              <w:szCs w:val="24"/>
            </w:rPr>
            <w:t>); Zambia (</w:t>
          </w:r>
          <w:r w:rsidRPr="001C0BA2">
            <w:rPr>
              <w:rFonts w:asciiTheme="majorHAnsi" w:eastAsia="Calibri" w:hAnsiTheme="majorHAnsi" w:cs="Calibri"/>
              <w:b/>
              <w:bCs/>
              <w:sz w:val="24"/>
              <w:szCs w:val="24"/>
            </w:rPr>
            <w:t>16.4%</w:t>
          </w:r>
          <w:r w:rsidRPr="001C0BA2">
            <w:rPr>
              <w:rFonts w:asciiTheme="majorHAnsi" w:eastAsia="Calibri" w:hAnsiTheme="majorHAnsi" w:cs="Calibri"/>
              <w:sz w:val="24"/>
              <w:szCs w:val="24"/>
            </w:rPr>
            <w:t>) and Burkina Faso (</w:t>
          </w:r>
          <w:r w:rsidRPr="001C0BA2">
            <w:rPr>
              <w:rFonts w:asciiTheme="majorHAnsi" w:eastAsia="Calibri" w:hAnsiTheme="majorHAnsi" w:cs="Calibri"/>
              <w:b/>
              <w:bCs/>
              <w:sz w:val="24"/>
              <w:szCs w:val="24"/>
            </w:rPr>
            <w:t>15.8%</w:t>
          </w:r>
          <w:r w:rsidRPr="001C0BA2">
            <w:rPr>
              <w:rFonts w:asciiTheme="majorHAnsi" w:eastAsia="Calibri" w:hAnsiTheme="majorHAnsi" w:cs="Calibri"/>
              <w:sz w:val="24"/>
              <w:szCs w:val="24"/>
            </w:rPr>
            <w:t>). In spite of Liberia’s commitment to this continental and sub-</w:t>
          </w:r>
          <w:r w:rsidRPr="001C0BA2">
            <w:rPr>
              <w:rFonts w:asciiTheme="majorHAnsi" w:eastAsia="Calibri" w:hAnsiTheme="majorHAnsi" w:cs="Calibri"/>
              <w:sz w:val="24"/>
              <w:szCs w:val="24"/>
            </w:rPr>
            <w:lastRenderedPageBreak/>
            <w:t xml:space="preserve">regional agreement, and repeated pronouncements of increase in revenue and economic growth, the country is still far from meeting this benchmark. </w:t>
          </w:r>
        </w:p>
        <w:p w:rsidR="00B506DF" w:rsidRPr="00211A97" w:rsidRDefault="00B506DF" w:rsidP="001C0BA2">
          <w:pPr>
            <w:autoSpaceDE w:val="0"/>
            <w:autoSpaceDN w:val="0"/>
            <w:adjustRightInd w:val="0"/>
            <w:spacing w:line="360" w:lineRule="auto"/>
            <w:jc w:val="both"/>
            <w:rPr>
              <w:rFonts w:asciiTheme="majorHAnsi" w:eastAsia="Calibri" w:hAnsiTheme="majorHAnsi" w:cs="Calibri"/>
              <w:sz w:val="2"/>
              <w:szCs w:val="24"/>
            </w:rPr>
          </w:pPr>
        </w:p>
        <w:p w:rsidR="00B506DF" w:rsidRPr="001C0BA2" w:rsidRDefault="00B506DF" w:rsidP="001C0BA2">
          <w:pPr>
            <w:autoSpaceDE w:val="0"/>
            <w:autoSpaceDN w:val="0"/>
            <w:adjustRightInd w:val="0"/>
            <w:spacing w:line="360" w:lineRule="auto"/>
            <w:jc w:val="both"/>
            <w:rPr>
              <w:rFonts w:asciiTheme="majorHAnsi" w:eastAsia="Calibri" w:hAnsiTheme="majorHAnsi" w:cs="Calibri"/>
              <w:sz w:val="24"/>
              <w:szCs w:val="24"/>
            </w:rPr>
          </w:pPr>
          <w:r w:rsidRPr="001C0BA2">
            <w:rPr>
              <w:rFonts w:asciiTheme="majorHAnsi" w:eastAsia="Calibri" w:hAnsiTheme="majorHAnsi" w:cs="Calibri"/>
              <w:sz w:val="24"/>
              <w:szCs w:val="24"/>
            </w:rPr>
            <w:t>Liberia target to meet the 15% requirement in the 2011/2012 National Budget was estimated at USD 65,484,681. The draft National Budget allocation then for the health sector was low; only 8.4% (36,824,243 USD) projection budget, meaning that an addition of USD 28,660,438 was still required for the National Budget allocation to the health sector to reach the 15% benchmark. Following legislative approval of the then budget, the amount allocated to the health sector rose up little to 49 million US dollars, i.e. 9% of the National Budget - 6% less to the AU’s requirement of 15%. The medium term (three years) National Budget projection submitted to the legislature experienced annual growth in terms of revenue generation. Even though the health sector allocation experienced a rise of USD 20.86 m (USD 69.86 m) in the 1</w:t>
          </w:r>
          <w:r w:rsidRPr="001C0BA2">
            <w:rPr>
              <w:rFonts w:asciiTheme="majorHAnsi" w:eastAsia="Calibri" w:hAnsiTheme="majorHAnsi" w:cs="Calibri"/>
              <w:sz w:val="24"/>
              <w:szCs w:val="24"/>
              <w:vertAlign w:val="superscript"/>
            </w:rPr>
            <w:t>st</w:t>
          </w:r>
          <w:r w:rsidRPr="001C0BA2">
            <w:rPr>
              <w:rFonts w:asciiTheme="majorHAnsi" w:eastAsia="Calibri" w:hAnsiTheme="majorHAnsi" w:cs="Calibri"/>
              <w:sz w:val="24"/>
              <w:szCs w:val="24"/>
            </w:rPr>
            <w:t xml:space="preserve"> year (2012/2013) thus seeing an increase of the percentage to 11%, the current amount in the budget means Liberia is still behind the AU requirement by 4%. This means in three additional years of Liberia development planning after over fourteen years of war (2012-2015), Liberia National Budget allocation to the health sector will still not be in compliance with the AU 15% requirement. </w:t>
          </w:r>
        </w:p>
        <w:p w:rsidR="00B506DF" w:rsidRPr="001C0BA2" w:rsidRDefault="00B506DF" w:rsidP="001C0BA2">
          <w:pPr>
            <w:autoSpaceDE w:val="0"/>
            <w:autoSpaceDN w:val="0"/>
            <w:adjustRightInd w:val="0"/>
            <w:spacing w:line="360" w:lineRule="auto"/>
            <w:jc w:val="both"/>
            <w:rPr>
              <w:rFonts w:asciiTheme="majorHAnsi" w:eastAsia="Calibri" w:hAnsiTheme="majorHAnsi" w:cs="Calibri"/>
              <w:sz w:val="24"/>
              <w:szCs w:val="24"/>
            </w:rPr>
          </w:pPr>
          <w:r w:rsidRPr="001C0BA2">
            <w:rPr>
              <w:rFonts w:asciiTheme="majorHAnsi" w:eastAsia="Calibri" w:hAnsiTheme="majorHAnsi" w:cs="Calibri"/>
              <w:sz w:val="24"/>
              <w:szCs w:val="24"/>
            </w:rPr>
            <w:t>The World Health Organization (WHO) requires countries to spent 40 USD annually per person on health needs. For Liberia to be in full compliance with this requirement, she will have to spend USD 140,000,000</w:t>
          </w:r>
          <w:r w:rsidRPr="001C0BA2">
            <w:rPr>
              <w:rStyle w:val="FootnoteReference"/>
              <w:rFonts w:asciiTheme="majorHAnsi" w:eastAsia="Calibri" w:hAnsiTheme="majorHAnsi" w:cs="Calibri"/>
              <w:sz w:val="24"/>
              <w:szCs w:val="24"/>
            </w:rPr>
            <w:footnoteReference w:id="4"/>
          </w:r>
          <w:r w:rsidRPr="001C0BA2">
            <w:rPr>
              <w:rFonts w:asciiTheme="majorHAnsi" w:eastAsia="Calibri" w:hAnsiTheme="majorHAnsi" w:cs="Calibri"/>
              <w:sz w:val="24"/>
              <w:szCs w:val="24"/>
            </w:rPr>
            <w:t xml:space="preserve"> of her annual budget including international assistance (donors) and the government spending to reach this threshold. The current proposal from the Executive Branch means an outstanding of USD 70.2m and more than half the requirement (51%) is yet unmet. If donors fail to provide this amount, this means the unserved population will depend on the mercy of God and a huge slice will be unmet to the individual amount of 40 US dollars. </w:t>
          </w:r>
        </w:p>
        <w:p w:rsidR="00C92E36" w:rsidRDefault="00B506DF" w:rsidP="001C0BA2">
          <w:pPr>
            <w:spacing w:line="360" w:lineRule="auto"/>
            <w:jc w:val="both"/>
            <w:rPr>
              <w:rFonts w:asciiTheme="majorHAnsi" w:hAnsiTheme="majorHAnsi"/>
              <w:sz w:val="24"/>
              <w:szCs w:val="24"/>
            </w:rPr>
          </w:pPr>
          <w:r w:rsidRPr="001C0BA2">
            <w:rPr>
              <w:rFonts w:asciiTheme="majorHAnsi" w:hAnsiTheme="majorHAnsi"/>
              <w:sz w:val="24"/>
              <w:szCs w:val="24"/>
            </w:rPr>
            <w:t xml:space="preserve">This analysis has also demonstrated that the National Budget allocation for the MOHSW shows strong disparities and inequalities among health care services provided by internal sectors within the health sector.  Even though there is a wise saying in Liberia that “prevention is better than cure” this saying in the projection of health services budget is the </w:t>
          </w:r>
          <w:r w:rsidRPr="001C0BA2">
            <w:rPr>
              <w:rFonts w:asciiTheme="majorHAnsi" w:hAnsiTheme="majorHAnsi"/>
              <w:sz w:val="24"/>
              <w:szCs w:val="24"/>
            </w:rPr>
            <w:lastRenderedPageBreak/>
            <w:t xml:space="preserve">opposite as government budget projection wade spending and services heavily towards curative than preventive health and social welfare services. For example, curative health service in 2009/2010 was allotted 10,501,342; in the next year 2010/2011 her allocation experienced jump by more than 90% (20,717,956); in 2011/2012 the section budget allocation climb up from 20,717,956 in 2010/2011 to 29,088,743 in 2011/2012 while the current draft medium term budget year one 2012/2013 increased by additional little over 1.7m.  preventive service for her part in 2009/2010 had poor or low allocations 759,549; in 2010/2011 allocation increase by over 100% to 2,316,761; in 2011/2012 the section budget increase little to 3.1m while in the current draft medium term budget first year 2012/2013 increase by 513% to 16,508,463.  See figure 1 below. </w:t>
          </w:r>
        </w:p>
        <w:p w:rsidR="00B506DF" w:rsidRPr="007F09AE" w:rsidRDefault="00B506DF" w:rsidP="004903B4">
          <w:pPr>
            <w:spacing w:line="240" w:lineRule="auto"/>
            <w:jc w:val="both"/>
            <w:rPr>
              <w:rFonts w:asciiTheme="majorHAnsi" w:hAnsiTheme="majorHAnsi"/>
              <w:i/>
              <w:color w:val="000000"/>
              <w:sz w:val="20"/>
              <w:szCs w:val="20"/>
            </w:rPr>
          </w:pPr>
          <w:r w:rsidRPr="007F09AE">
            <w:rPr>
              <w:rFonts w:asciiTheme="majorHAnsi" w:hAnsiTheme="majorHAnsi"/>
              <w:sz w:val="20"/>
              <w:szCs w:val="20"/>
            </w:rPr>
            <w:t>F</w:t>
          </w:r>
          <w:r w:rsidRPr="007F09AE">
            <w:rPr>
              <w:rFonts w:asciiTheme="majorHAnsi" w:hAnsiTheme="majorHAnsi"/>
              <w:color w:val="000000"/>
              <w:sz w:val="20"/>
              <w:szCs w:val="20"/>
            </w:rPr>
            <w:t xml:space="preserve">igure 1: Curative, Preventive and Social Welfare Services Disparities </w:t>
          </w:r>
          <w:r w:rsidRPr="007F09AE">
            <w:rPr>
              <w:rFonts w:asciiTheme="majorHAnsi" w:hAnsiTheme="majorHAnsi"/>
              <w:i/>
              <w:color w:val="000000"/>
              <w:sz w:val="20"/>
              <w:szCs w:val="20"/>
            </w:rPr>
            <w:t>Ministry of Health Budget Allocation Analysis 2009/2010-2012-2013</w:t>
          </w:r>
        </w:p>
        <w:p w:rsidR="00B506DF" w:rsidRPr="001C0BA2" w:rsidRDefault="00B506DF" w:rsidP="004903B4">
          <w:pPr>
            <w:autoSpaceDE w:val="0"/>
            <w:autoSpaceDN w:val="0"/>
            <w:adjustRightInd w:val="0"/>
            <w:spacing w:line="240" w:lineRule="auto"/>
            <w:jc w:val="both"/>
            <w:rPr>
              <w:rFonts w:asciiTheme="majorHAnsi" w:eastAsia="Calibri" w:hAnsiTheme="majorHAnsi" w:cs="Calibri"/>
              <w:sz w:val="24"/>
              <w:szCs w:val="24"/>
            </w:rPr>
          </w:pPr>
          <w:r w:rsidRPr="001C0BA2">
            <w:rPr>
              <w:rFonts w:asciiTheme="majorHAnsi" w:eastAsia="Calibri" w:hAnsiTheme="majorHAnsi" w:cs="Calibri"/>
              <w:noProof/>
              <w:sz w:val="24"/>
              <w:szCs w:val="24"/>
            </w:rPr>
            <w:drawing>
              <wp:inline distT="0" distB="0" distL="0" distR="0">
                <wp:extent cx="5945063" cy="1795173"/>
                <wp:effectExtent l="19050" t="0" r="17587"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826CA" w:rsidRPr="00B826CA" w:rsidRDefault="00B826CA" w:rsidP="001C0BA2">
          <w:pPr>
            <w:autoSpaceDE w:val="0"/>
            <w:autoSpaceDN w:val="0"/>
            <w:adjustRightInd w:val="0"/>
            <w:spacing w:line="360" w:lineRule="auto"/>
            <w:jc w:val="both"/>
            <w:rPr>
              <w:rFonts w:asciiTheme="majorHAnsi" w:hAnsiTheme="majorHAnsi"/>
              <w:sz w:val="2"/>
              <w:szCs w:val="24"/>
            </w:rPr>
          </w:pPr>
        </w:p>
        <w:p w:rsidR="002610EB" w:rsidRPr="002610EB" w:rsidRDefault="002610EB" w:rsidP="001C0BA2">
          <w:pPr>
            <w:autoSpaceDE w:val="0"/>
            <w:autoSpaceDN w:val="0"/>
            <w:adjustRightInd w:val="0"/>
            <w:spacing w:line="360" w:lineRule="auto"/>
            <w:jc w:val="both"/>
            <w:rPr>
              <w:rFonts w:asciiTheme="majorHAnsi" w:eastAsia="Calibri" w:hAnsiTheme="majorHAnsi" w:cs="Calibri"/>
              <w:sz w:val="24"/>
              <w:szCs w:val="24"/>
            </w:rPr>
          </w:pPr>
          <w:r w:rsidRPr="002610EB">
            <w:rPr>
              <w:rFonts w:asciiTheme="majorHAnsi" w:hAnsiTheme="majorHAnsi"/>
              <w:sz w:val="24"/>
              <w:szCs w:val="24"/>
            </w:rPr>
            <w:t>In spite of the commitments the country made, especially at the Sanitation and Water for All partnership High Level Meeting on Water and Sanitation held this April 2012 in Washington DC, the development of Liberia WASH Compact and its  signing and endorsement by President Sirleaf offering to issue an executive order establishing the Water and Sanitation Commission by July or the end of 2012, coupled with the huge social, economic, health, governance, human resource challenges the people and sector experience on a daily basis</w:t>
          </w:r>
          <w:r>
            <w:rPr>
              <w:rFonts w:asciiTheme="majorHAnsi" w:hAnsiTheme="majorHAnsi"/>
              <w:sz w:val="24"/>
              <w:szCs w:val="24"/>
            </w:rPr>
            <w:t xml:space="preserve"> as mentioned above in the problem of WASH</w:t>
          </w:r>
          <w:r w:rsidRPr="002610EB">
            <w:rPr>
              <w:rFonts w:asciiTheme="majorHAnsi" w:hAnsiTheme="majorHAnsi"/>
              <w:sz w:val="24"/>
              <w:szCs w:val="24"/>
            </w:rPr>
            <w:t>, the national budget for the three years shows no allocation for the proposed commission, which draft executive order is before President Sirleaf for issuing, and no allocation for human resource capacity development.</w:t>
          </w:r>
        </w:p>
        <w:p w:rsidR="00071822" w:rsidRDefault="00071822" w:rsidP="00071822">
          <w:pPr>
            <w:pStyle w:val="NoSpacing"/>
            <w:spacing w:line="360" w:lineRule="auto"/>
            <w:jc w:val="both"/>
            <w:rPr>
              <w:rFonts w:asciiTheme="majorHAnsi" w:hAnsiTheme="majorHAnsi"/>
              <w:sz w:val="24"/>
              <w:szCs w:val="24"/>
            </w:rPr>
          </w:pPr>
          <w:r w:rsidRPr="00071822">
            <w:rPr>
              <w:rFonts w:asciiTheme="majorHAnsi" w:hAnsiTheme="majorHAnsi"/>
              <w:sz w:val="24"/>
              <w:szCs w:val="24"/>
            </w:rPr>
            <w:lastRenderedPageBreak/>
            <w:t xml:space="preserve">Despite the huge gap in adult education and the huge training needs for the over 19,000 primary schools teachers, the national budget appropriates low resources for these very important areas. For the first year of the medium term budget 2012/2013 adult literacy was apportioned USD 10,000. Teachers Training and Education was projected USD 516,258 where as Technical Education is allotted USD 4,469,721, College Education is given USD 20,181,684 and primary education apportioned USD 13,330,673. See figure </w:t>
          </w:r>
          <w:r>
            <w:rPr>
              <w:rFonts w:asciiTheme="majorHAnsi" w:hAnsiTheme="majorHAnsi"/>
              <w:sz w:val="24"/>
              <w:szCs w:val="24"/>
            </w:rPr>
            <w:t>2</w:t>
          </w:r>
          <w:r w:rsidRPr="00071822">
            <w:rPr>
              <w:rFonts w:asciiTheme="majorHAnsi" w:hAnsiTheme="majorHAnsi"/>
              <w:sz w:val="24"/>
              <w:szCs w:val="24"/>
            </w:rPr>
            <w:t xml:space="preserve"> </w:t>
          </w:r>
          <w:r>
            <w:rPr>
              <w:rFonts w:asciiTheme="majorHAnsi" w:hAnsiTheme="majorHAnsi"/>
              <w:sz w:val="24"/>
              <w:szCs w:val="24"/>
            </w:rPr>
            <w:t>below</w:t>
          </w:r>
          <w:r w:rsidRPr="00071822">
            <w:rPr>
              <w:rFonts w:asciiTheme="majorHAnsi" w:hAnsiTheme="majorHAnsi"/>
              <w:sz w:val="24"/>
              <w:szCs w:val="24"/>
            </w:rPr>
            <w:t xml:space="preserve"> for breakdown of allocations for 2012/2013 and table 4 below for appropriation over fiscal periods 2006/2007 to 2012/2013 and analysis of appropriation trend.</w:t>
          </w:r>
        </w:p>
        <w:p w:rsidR="00071822" w:rsidRPr="00071822" w:rsidRDefault="00071822" w:rsidP="00071822">
          <w:pPr>
            <w:pStyle w:val="NoSpacing"/>
            <w:spacing w:line="360" w:lineRule="auto"/>
            <w:jc w:val="both"/>
            <w:rPr>
              <w:rFonts w:asciiTheme="majorHAnsi" w:hAnsiTheme="majorHAnsi"/>
              <w:sz w:val="10"/>
              <w:szCs w:val="24"/>
            </w:rPr>
          </w:pPr>
        </w:p>
        <w:p w:rsidR="00071822" w:rsidRPr="00910B6D" w:rsidRDefault="00071822" w:rsidP="00071822">
          <w:pPr>
            <w:pStyle w:val="NoSpacing"/>
            <w:jc w:val="both"/>
            <w:rPr>
              <w:b/>
              <w:sz w:val="24"/>
              <w:szCs w:val="24"/>
            </w:rPr>
          </w:pPr>
          <w:r>
            <w:rPr>
              <w:b/>
              <w:color w:val="000000"/>
              <w:sz w:val="24"/>
              <w:szCs w:val="24"/>
            </w:rPr>
            <w:t>Figure 2: Education Allocation by Categories 2012/2013</w:t>
          </w:r>
        </w:p>
        <w:p w:rsidR="00071822" w:rsidRPr="00071822" w:rsidRDefault="00071822" w:rsidP="00071822">
          <w:pPr>
            <w:pStyle w:val="NoSpacing"/>
            <w:spacing w:line="360" w:lineRule="auto"/>
            <w:jc w:val="both"/>
            <w:rPr>
              <w:rFonts w:asciiTheme="majorHAnsi" w:hAnsiTheme="majorHAnsi"/>
              <w:sz w:val="24"/>
              <w:szCs w:val="24"/>
            </w:rPr>
          </w:pPr>
          <w:r>
            <w:rPr>
              <w:noProof/>
              <w:sz w:val="12"/>
              <w:szCs w:val="24"/>
            </w:rPr>
            <w:drawing>
              <wp:inline distT="0" distB="0" distL="0" distR="0">
                <wp:extent cx="5880082" cy="2515297"/>
                <wp:effectExtent l="15675" t="6882" r="7838" b="2581"/>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71822" w:rsidRDefault="00071822" w:rsidP="00071822">
          <w:pPr>
            <w:pStyle w:val="NoSpacing"/>
            <w:jc w:val="both"/>
            <w:rPr>
              <w:sz w:val="4"/>
              <w:szCs w:val="24"/>
            </w:rPr>
          </w:pPr>
        </w:p>
        <w:p w:rsidR="00071822" w:rsidRDefault="00071822" w:rsidP="00071822">
          <w:pPr>
            <w:pStyle w:val="NoSpacing"/>
            <w:jc w:val="both"/>
            <w:rPr>
              <w:sz w:val="4"/>
              <w:szCs w:val="24"/>
            </w:rPr>
          </w:pPr>
        </w:p>
        <w:p w:rsidR="00071822" w:rsidRDefault="00071822" w:rsidP="00071822">
          <w:pPr>
            <w:pStyle w:val="NoSpacing"/>
            <w:jc w:val="both"/>
            <w:rPr>
              <w:sz w:val="4"/>
              <w:szCs w:val="24"/>
            </w:rPr>
          </w:pPr>
        </w:p>
        <w:p w:rsidR="00071822" w:rsidRDefault="00071822" w:rsidP="00071822">
          <w:pPr>
            <w:pStyle w:val="NoSpacing"/>
            <w:jc w:val="both"/>
            <w:rPr>
              <w:sz w:val="4"/>
              <w:szCs w:val="24"/>
            </w:rPr>
          </w:pPr>
        </w:p>
        <w:p w:rsidR="00071822" w:rsidRDefault="00071822" w:rsidP="00071822">
          <w:pPr>
            <w:pStyle w:val="NoSpacing"/>
            <w:jc w:val="both"/>
            <w:rPr>
              <w:sz w:val="4"/>
              <w:szCs w:val="24"/>
            </w:rPr>
          </w:pPr>
        </w:p>
        <w:p w:rsidR="00A3665C" w:rsidRPr="00967261" w:rsidRDefault="00A3665C" w:rsidP="00967261">
          <w:pPr>
            <w:pStyle w:val="NoSpacing"/>
            <w:shd w:val="clear" w:color="auto" w:fill="4F81BD" w:themeFill="accent1"/>
            <w:spacing w:line="360" w:lineRule="auto"/>
            <w:rPr>
              <w:rFonts w:asciiTheme="majorHAnsi" w:eastAsiaTheme="majorEastAsia" w:hAnsiTheme="majorHAnsi" w:cstheme="majorBidi"/>
              <w:b/>
              <w:color w:val="FFFFFF" w:themeColor="background1"/>
              <w:sz w:val="24"/>
              <w:szCs w:val="24"/>
            </w:rPr>
          </w:pPr>
          <w:r w:rsidRPr="00967261">
            <w:rPr>
              <w:rFonts w:asciiTheme="majorHAnsi" w:eastAsiaTheme="majorEastAsia" w:hAnsiTheme="majorHAnsi" w:cstheme="majorBidi"/>
              <w:b/>
              <w:color w:val="FFFFFF" w:themeColor="background1"/>
              <w:sz w:val="24"/>
              <w:szCs w:val="24"/>
            </w:rPr>
            <w:t xml:space="preserve">Conclusion </w:t>
          </w:r>
        </w:p>
        <w:p w:rsidR="00070B36" w:rsidRDefault="00460CF9" w:rsidP="00070B36">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In conclusion, this finding suggest that there are </w:t>
          </w:r>
          <w:r w:rsidR="00070B36">
            <w:rPr>
              <w:rFonts w:asciiTheme="majorHAnsi" w:eastAsiaTheme="majorEastAsia" w:hAnsiTheme="majorHAnsi" w:cstheme="majorBidi"/>
              <w:sz w:val="24"/>
              <w:szCs w:val="24"/>
            </w:rPr>
            <w:t xml:space="preserve">marginalization and inequality </w:t>
          </w:r>
          <w:r>
            <w:rPr>
              <w:rFonts w:asciiTheme="majorHAnsi" w:eastAsiaTheme="majorEastAsia" w:hAnsiTheme="majorHAnsi" w:cstheme="majorBidi"/>
              <w:sz w:val="24"/>
              <w:szCs w:val="24"/>
            </w:rPr>
            <w:t xml:space="preserve">in allocation of </w:t>
          </w:r>
          <w:r w:rsidR="002C2263">
            <w:rPr>
              <w:rFonts w:asciiTheme="majorHAnsi" w:eastAsiaTheme="majorEastAsia" w:hAnsiTheme="majorHAnsi" w:cstheme="majorBidi"/>
              <w:sz w:val="24"/>
              <w:szCs w:val="24"/>
            </w:rPr>
            <w:t xml:space="preserve"> </w:t>
          </w:r>
          <w:r w:rsidR="00070B36">
            <w:rPr>
              <w:rFonts w:asciiTheme="majorHAnsi" w:eastAsiaTheme="majorEastAsia" w:hAnsiTheme="majorHAnsi" w:cstheme="majorBidi"/>
              <w:sz w:val="24"/>
              <w:szCs w:val="24"/>
            </w:rPr>
            <w:t xml:space="preserve">county </w:t>
          </w:r>
          <w:r>
            <w:rPr>
              <w:rFonts w:asciiTheme="majorHAnsi" w:eastAsiaTheme="majorEastAsia" w:hAnsiTheme="majorHAnsi" w:cstheme="majorBidi"/>
              <w:sz w:val="24"/>
              <w:szCs w:val="24"/>
            </w:rPr>
            <w:t xml:space="preserve">education, health, water and sanitation potion of the draft medium term national budget in the first year 2012/2013. </w:t>
          </w:r>
          <w:r w:rsidR="002C2263">
            <w:rPr>
              <w:rFonts w:asciiTheme="majorHAnsi" w:eastAsiaTheme="majorEastAsia" w:hAnsiTheme="majorHAnsi" w:cstheme="majorBidi"/>
              <w:sz w:val="24"/>
              <w:szCs w:val="24"/>
            </w:rPr>
            <w:t xml:space="preserve">Specifically, </w:t>
          </w:r>
          <w:r w:rsidR="00070B36">
            <w:rPr>
              <w:rFonts w:asciiTheme="majorHAnsi" w:eastAsiaTheme="majorEastAsia" w:hAnsiTheme="majorHAnsi" w:cstheme="majorBidi"/>
              <w:sz w:val="24"/>
              <w:szCs w:val="24"/>
            </w:rPr>
            <w:t xml:space="preserve">projects proposed are centralized or focus in cities or second well-off (have little visible infrastructure, education system, health care delivery and economic activities) locations in the counties that previous budget were heavily focused. </w:t>
          </w:r>
        </w:p>
        <w:p w:rsidR="00070B36" w:rsidRPr="004A5A12" w:rsidRDefault="00070B36" w:rsidP="00070B36">
          <w:pPr>
            <w:pStyle w:val="NoSpacing"/>
            <w:spacing w:line="360" w:lineRule="auto"/>
            <w:jc w:val="both"/>
            <w:rPr>
              <w:rFonts w:asciiTheme="majorHAnsi" w:eastAsiaTheme="majorEastAsia" w:hAnsiTheme="majorHAnsi" w:cstheme="majorBidi"/>
              <w:sz w:val="12"/>
              <w:szCs w:val="24"/>
            </w:rPr>
          </w:pPr>
        </w:p>
        <w:p w:rsidR="00A3665C" w:rsidRPr="00A3665C" w:rsidRDefault="00C923B1" w:rsidP="00C923B1">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This means, if Liberia development planning continue in this trend, development will equally be centralized to traditionally well-off (have little visible infrastructure, education system, health care delivery and economic activities) locations thereby leaving the bigger picture and long time marginalized groups to fetch for themselves livelihood. Due to this, </w:t>
          </w:r>
          <w:r>
            <w:rPr>
              <w:rFonts w:asciiTheme="majorHAnsi" w:eastAsiaTheme="majorEastAsia" w:hAnsiTheme="majorHAnsi" w:cstheme="majorBidi"/>
              <w:sz w:val="24"/>
              <w:szCs w:val="24"/>
            </w:rPr>
            <w:lastRenderedPageBreak/>
            <w:t xml:space="preserve">many citizens will be force to abandon their home land, migrate to cities, feel as alien in their own country and could be vulnerable to agents of conflict thereby undermining the peace and security of Liberia.  </w:t>
          </w:r>
        </w:p>
        <w:p w:rsidR="00A3665C" w:rsidRPr="007B771C" w:rsidRDefault="00A3665C" w:rsidP="00A3665C">
          <w:pPr>
            <w:pStyle w:val="NoSpacing"/>
            <w:spacing w:line="360" w:lineRule="auto"/>
            <w:rPr>
              <w:rFonts w:asciiTheme="majorHAnsi" w:eastAsiaTheme="majorEastAsia" w:hAnsiTheme="majorHAnsi" w:cstheme="majorBidi"/>
              <w:sz w:val="10"/>
              <w:szCs w:val="24"/>
            </w:rPr>
          </w:pPr>
        </w:p>
        <w:p w:rsidR="00A050C3" w:rsidRPr="00154B74" w:rsidRDefault="00A050C3" w:rsidP="00154B74">
          <w:pPr>
            <w:pStyle w:val="NoSpacing"/>
            <w:spacing w:line="36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Additionally, if development planning continue on this trend, Liberia will not meet internationally and nationally adopted development goals including MDGs, AU 15% health requirement, WHO 40 USD per person requirement, Africa ministers of water and sanitation 0.05% GDP requirement, </w:t>
          </w:r>
          <w:r w:rsidR="00054E73">
            <w:rPr>
              <w:rFonts w:asciiTheme="majorHAnsi" w:eastAsiaTheme="majorEastAsia" w:hAnsiTheme="majorHAnsi" w:cstheme="majorBidi"/>
              <w:sz w:val="24"/>
              <w:szCs w:val="24"/>
            </w:rPr>
            <w:t xml:space="preserve">PRS document, </w:t>
          </w:r>
          <w:r w:rsidR="00154B74" w:rsidRPr="00154B74">
            <w:rPr>
              <w:rFonts w:asciiTheme="majorHAnsi" w:hAnsiTheme="majorHAnsi" w:cs="Arial"/>
              <w:bCs/>
              <w:sz w:val="24"/>
              <w:szCs w:val="24"/>
            </w:rPr>
            <w:t>Dakar Framework for Action, Education for All, April 2000, goal</w:t>
          </w:r>
          <w:r w:rsidR="00154B74">
            <w:rPr>
              <w:rFonts w:asciiTheme="majorHAnsi" w:hAnsiTheme="majorHAnsi" w:cs="Arial"/>
              <w:bCs/>
              <w:sz w:val="24"/>
              <w:szCs w:val="24"/>
            </w:rPr>
            <w:t xml:space="preserve"> and international human rights treaties, convention, protocols and resolutions as mentioned in the above. </w:t>
          </w:r>
        </w:p>
        <w:p w:rsidR="00A3665C" w:rsidRPr="00A3665C" w:rsidRDefault="00A3665C" w:rsidP="00154B74">
          <w:pPr>
            <w:pStyle w:val="NoSpacing"/>
            <w:spacing w:line="360" w:lineRule="auto"/>
            <w:jc w:val="both"/>
            <w:rPr>
              <w:rFonts w:asciiTheme="majorHAnsi" w:eastAsiaTheme="majorEastAsia" w:hAnsiTheme="majorHAnsi" w:cstheme="majorBidi"/>
              <w:sz w:val="24"/>
              <w:szCs w:val="24"/>
            </w:rPr>
          </w:pPr>
        </w:p>
        <w:p w:rsidR="00A3665C" w:rsidRPr="00E94CAC" w:rsidRDefault="00A3665C" w:rsidP="00E94CAC">
          <w:pPr>
            <w:pStyle w:val="NoSpacing"/>
            <w:shd w:val="clear" w:color="auto" w:fill="4F81BD" w:themeFill="accent1"/>
            <w:spacing w:line="360" w:lineRule="auto"/>
            <w:rPr>
              <w:rFonts w:asciiTheme="majorHAnsi" w:eastAsiaTheme="majorEastAsia" w:hAnsiTheme="majorHAnsi" w:cstheme="majorBidi"/>
              <w:b/>
              <w:color w:val="FFFFFF" w:themeColor="background1"/>
              <w:sz w:val="28"/>
              <w:szCs w:val="28"/>
            </w:rPr>
          </w:pPr>
          <w:r w:rsidRPr="00E94CAC">
            <w:rPr>
              <w:rFonts w:asciiTheme="majorHAnsi" w:eastAsiaTheme="majorEastAsia" w:hAnsiTheme="majorHAnsi" w:cstheme="majorBidi"/>
              <w:b/>
              <w:color w:val="FFFFFF" w:themeColor="background1"/>
              <w:sz w:val="28"/>
              <w:szCs w:val="28"/>
            </w:rPr>
            <w:t>Recommendations</w:t>
          </w:r>
        </w:p>
        <w:p w:rsidR="00A3665C" w:rsidRPr="00717534" w:rsidRDefault="007D3173" w:rsidP="00A3665C">
          <w:pPr>
            <w:pStyle w:val="NoSpacing"/>
            <w:spacing w:line="360" w:lineRule="auto"/>
            <w:jc w:val="both"/>
            <w:rPr>
              <w:rFonts w:asciiTheme="majorHAnsi" w:hAnsiTheme="majorHAnsi"/>
              <w:sz w:val="24"/>
              <w:szCs w:val="24"/>
            </w:rPr>
          </w:pPr>
          <w:r w:rsidRPr="00717534">
            <w:rPr>
              <w:rFonts w:asciiTheme="majorHAnsi" w:hAnsiTheme="majorHAnsi"/>
              <w:sz w:val="24"/>
              <w:szCs w:val="24"/>
            </w:rPr>
            <w:t xml:space="preserve">In an effort to </w:t>
          </w:r>
          <w:r w:rsidR="00A3665C" w:rsidRPr="00717534">
            <w:rPr>
              <w:rFonts w:asciiTheme="majorHAnsi" w:hAnsiTheme="majorHAnsi"/>
              <w:sz w:val="24"/>
              <w:szCs w:val="24"/>
            </w:rPr>
            <w:t>promot</w:t>
          </w:r>
          <w:r w:rsidRPr="00717534">
            <w:rPr>
              <w:rFonts w:asciiTheme="majorHAnsi" w:hAnsiTheme="majorHAnsi"/>
              <w:sz w:val="24"/>
              <w:szCs w:val="24"/>
            </w:rPr>
            <w:t>e</w:t>
          </w:r>
          <w:r w:rsidR="00A3665C" w:rsidRPr="00717534">
            <w:rPr>
              <w:rFonts w:asciiTheme="majorHAnsi" w:hAnsiTheme="majorHAnsi"/>
              <w:sz w:val="24"/>
              <w:szCs w:val="24"/>
            </w:rPr>
            <w:t xml:space="preserve"> equity, inclusion, human rights-based budgeting with fiscal transparency and accountability that will lead to Liberia progressively meeting </w:t>
          </w:r>
          <w:r w:rsidRPr="00717534">
            <w:rPr>
              <w:rFonts w:asciiTheme="majorHAnsi" w:hAnsiTheme="majorHAnsi"/>
              <w:sz w:val="24"/>
              <w:szCs w:val="24"/>
            </w:rPr>
            <w:t xml:space="preserve">rights to education, right to health care and rights to water and sanitation the </w:t>
          </w:r>
          <w:r w:rsidR="00A3665C" w:rsidRPr="00717534">
            <w:rPr>
              <w:rFonts w:asciiTheme="majorHAnsi" w:hAnsiTheme="majorHAnsi"/>
              <w:sz w:val="24"/>
              <w:szCs w:val="24"/>
            </w:rPr>
            <w:t>following</w:t>
          </w:r>
          <w:r w:rsidRPr="00717534">
            <w:rPr>
              <w:rFonts w:asciiTheme="majorHAnsi" w:hAnsiTheme="majorHAnsi"/>
              <w:sz w:val="24"/>
              <w:szCs w:val="24"/>
            </w:rPr>
            <w:t xml:space="preserve"> actions must be taken by the Government of Liberia</w:t>
          </w:r>
          <w:r w:rsidR="00A3665C" w:rsidRPr="00717534">
            <w:rPr>
              <w:rFonts w:asciiTheme="majorHAnsi" w:hAnsiTheme="majorHAnsi"/>
              <w:sz w:val="24"/>
              <w:szCs w:val="24"/>
            </w:rPr>
            <w:t>:</w:t>
          </w:r>
        </w:p>
        <w:p w:rsidR="00A3665C" w:rsidRPr="00717534" w:rsidRDefault="00A3665C" w:rsidP="00A3665C">
          <w:pPr>
            <w:pStyle w:val="NoSpacing"/>
            <w:spacing w:line="360" w:lineRule="auto"/>
            <w:jc w:val="both"/>
            <w:rPr>
              <w:rFonts w:asciiTheme="majorHAnsi" w:hAnsiTheme="majorHAnsi"/>
              <w:sz w:val="24"/>
              <w:szCs w:val="24"/>
            </w:rPr>
          </w:pPr>
          <w:r w:rsidRPr="00717534">
            <w:rPr>
              <w:rFonts w:asciiTheme="majorHAnsi" w:hAnsiTheme="majorHAnsi"/>
              <w:sz w:val="24"/>
              <w:szCs w:val="24"/>
            </w:rPr>
            <w:t xml:space="preserve">  </w:t>
          </w:r>
        </w:p>
        <w:p w:rsidR="00A3665C" w:rsidRPr="00717534" w:rsidRDefault="0097458C" w:rsidP="00A3665C">
          <w:pPr>
            <w:pStyle w:val="NoSpacing"/>
            <w:numPr>
              <w:ilvl w:val="0"/>
              <w:numId w:val="1"/>
            </w:numPr>
            <w:spacing w:line="360" w:lineRule="auto"/>
            <w:jc w:val="both"/>
            <w:rPr>
              <w:rFonts w:asciiTheme="majorHAnsi" w:hAnsiTheme="majorHAnsi"/>
              <w:sz w:val="24"/>
              <w:szCs w:val="24"/>
            </w:rPr>
          </w:pPr>
          <w:r w:rsidRPr="00717534">
            <w:rPr>
              <w:rFonts w:asciiTheme="majorHAnsi" w:hAnsiTheme="majorHAnsi"/>
              <w:sz w:val="24"/>
              <w:szCs w:val="24"/>
            </w:rPr>
            <w:t xml:space="preserve">There should be steps taken towards prioritizing reaching the poorest, marginalized and vulnerable groups, and linking development with the realization of human rights for all. To do this, cut must be made to counties such as Montserrado that has sufficient economic activities, infrastructure and basic social services and cut transfer to highly inaccessible counties mainly districts and communities that have been marginalized for too long  </w:t>
          </w:r>
          <w:r w:rsidR="00A3665C" w:rsidRPr="00717534">
            <w:rPr>
              <w:rFonts w:asciiTheme="majorHAnsi" w:hAnsiTheme="majorHAnsi"/>
              <w:sz w:val="24"/>
              <w:szCs w:val="24"/>
            </w:rPr>
            <w:t xml:space="preserve">   </w:t>
          </w:r>
        </w:p>
        <w:p w:rsidR="00A3665C" w:rsidRPr="00A3665C" w:rsidRDefault="00A3665C" w:rsidP="00A3665C">
          <w:pPr>
            <w:pStyle w:val="ListParagraph"/>
            <w:numPr>
              <w:ilvl w:val="0"/>
              <w:numId w:val="1"/>
            </w:numPr>
            <w:spacing w:line="360" w:lineRule="auto"/>
            <w:jc w:val="both"/>
            <w:rPr>
              <w:rFonts w:asciiTheme="majorHAnsi" w:hAnsiTheme="majorHAnsi" w:cs="Calibri"/>
            </w:rPr>
          </w:pPr>
          <w:r w:rsidRPr="00A3665C">
            <w:rPr>
              <w:rFonts w:asciiTheme="majorHAnsi" w:hAnsiTheme="majorHAnsi" w:cs="Calibri"/>
            </w:rPr>
            <w:t xml:space="preserve">We commend the government for providing subside to non profitable non-state actors’ organizations with human rights protection mandate; however, we encourage the Legislature to create budget lines in the current draft budget for the Independent National Commission on Human Rights, the National Commission on Disabilities as well as the Liberia Children Parliament, civil society networks and grass root organizations at county level. These Commissions and groups should play a critical role in civic and human rights education and in strengthening direct social accountability by the governance and community-based participation in national </w:t>
          </w:r>
          <w:r w:rsidRPr="00A3665C">
            <w:rPr>
              <w:rFonts w:asciiTheme="majorHAnsi" w:hAnsiTheme="majorHAnsi" w:cs="Calibri"/>
            </w:rPr>
            <w:lastRenderedPageBreak/>
            <w:t xml:space="preserve">building processes of the country, and if they must play their significant role in the country, the capacity of these Commissions and non-state actors needs to be </w:t>
          </w:r>
          <w:r w:rsidRPr="008D57B0">
            <w:rPr>
              <w:rFonts w:asciiTheme="majorHAnsi" w:hAnsiTheme="majorHAnsi" w:cs="Calibri"/>
            </w:rPr>
            <w:t>built in</w:t>
          </w:r>
          <w:r w:rsidRPr="00A3665C">
            <w:rPr>
              <w:rFonts w:asciiTheme="majorHAnsi" w:hAnsiTheme="majorHAnsi" w:cs="Calibri"/>
            </w:rPr>
            <w:t xml:space="preserve"> a sustainable manner, equally as state actors.</w:t>
          </w:r>
        </w:p>
        <w:p w:rsidR="00A3665C" w:rsidRPr="00A3665C" w:rsidRDefault="00A3665C" w:rsidP="00A3665C">
          <w:pPr>
            <w:pStyle w:val="NoSpacing"/>
            <w:numPr>
              <w:ilvl w:val="0"/>
              <w:numId w:val="1"/>
            </w:numPr>
            <w:spacing w:line="360" w:lineRule="auto"/>
            <w:jc w:val="both"/>
            <w:rPr>
              <w:rFonts w:asciiTheme="majorHAnsi" w:hAnsiTheme="majorHAnsi"/>
              <w:sz w:val="24"/>
              <w:szCs w:val="24"/>
            </w:rPr>
          </w:pPr>
          <w:r w:rsidRPr="00A3665C">
            <w:rPr>
              <w:rFonts w:asciiTheme="majorHAnsi" w:hAnsiTheme="majorHAnsi"/>
              <w:sz w:val="24"/>
              <w:szCs w:val="24"/>
            </w:rPr>
            <w:t xml:space="preserve">We call on the government to expand and accelerate universal access to free and compulsory basic education, based on human rights indicators and benchmarks to measure the inclusion of marginalized and vulnerable groups, particularly girls and children with disabilities, and populations in hard-to-reach or remote areas of the country. We also propose increasing of subsidies to privately run educational institutions in the counties as well as increasing scholarships for girls and boys in privately run basic, secondary, college and technical education programs in the country, especially in rural areas. Henceforth, to do this and as a means of measuring impact and providing checks and balances, derive priority areas of spending subsidized monies, identifying jointly with the local communities the priority areas of needs of subsidized educational institutions and, based on areas and levels of needs, develop guidelines which highlight areas of spending for which government subsidies will be made and put in place effective accountability mechanisms. </w:t>
          </w:r>
        </w:p>
        <w:p w:rsidR="00A3665C" w:rsidRPr="00A3665C" w:rsidRDefault="00A3665C" w:rsidP="00A3665C">
          <w:pPr>
            <w:pStyle w:val="NoSpacing"/>
            <w:numPr>
              <w:ilvl w:val="0"/>
              <w:numId w:val="1"/>
            </w:numPr>
            <w:spacing w:line="360" w:lineRule="auto"/>
            <w:jc w:val="both"/>
            <w:rPr>
              <w:rFonts w:asciiTheme="majorHAnsi" w:hAnsiTheme="majorHAnsi"/>
              <w:sz w:val="24"/>
              <w:szCs w:val="24"/>
            </w:rPr>
          </w:pPr>
          <w:r w:rsidRPr="00A3665C">
            <w:rPr>
              <w:rFonts w:asciiTheme="majorHAnsi" w:hAnsiTheme="majorHAnsi"/>
              <w:sz w:val="24"/>
              <w:szCs w:val="24"/>
            </w:rPr>
            <w:t>The National Legislature must request from all private and public institutions which received allocations during the 2011/2012 fiscal period for performance report and plan for which monies are being requested for the period 2012/2013. Requested plans must indicate time line, geographic locations, and percentage of project to be financed by requested funds and problems to be solved. This is necessary especially for private universities and schools which have been receiving monies from government but their infrastructure and quality of education still remain poor, though  fees are been increased every academic year.</w:t>
          </w:r>
        </w:p>
        <w:p w:rsidR="00A3665C" w:rsidRPr="00A3665C" w:rsidRDefault="00A3665C" w:rsidP="00A3665C">
          <w:pPr>
            <w:pStyle w:val="NoSpacing"/>
            <w:numPr>
              <w:ilvl w:val="0"/>
              <w:numId w:val="1"/>
            </w:numPr>
            <w:spacing w:line="360" w:lineRule="auto"/>
            <w:jc w:val="both"/>
            <w:rPr>
              <w:rFonts w:asciiTheme="majorHAnsi" w:hAnsiTheme="majorHAnsi"/>
              <w:sz w:val="24"/>
              <w:szCs w:val="24"/>
            </w:rPr>
          </w:pPr>
          <w:r w:rsidRPr="00A3665C">
            <w:rPr>
              <w:rFonts w:asciiTheme="majorHAnsi" w:hAnsiTheme="majorHAnsi"/>
              <w:sz w:val="24"/>
              <w:szCs w:val="24"/>
            </w:rPr>
            <w:t xml:space="preserve">As a means of enhancing the President’s commitment to ensure fiscal discipline and vigilance against those bent on squandering public funds and other resources as well as a means of promoting inclusion, meaningful participation and direct accountability, we reemphasize the need for the establishment of county and district level budget committees that include all key stakeholders - government, civil society, chiefs, community leaders and members, especially elders, youth, women, </w:t>
          </w:r>
          <w:r w:rsidRPr="00A3665C">
            <w:rPr>
              <w:rFonts w:asciiTheme="majorHAnsi" w:hAnsiTheme="majorHAnsi"/>
              <w:sz w:val="24"/>
              <w:szCs w:val="24"/>
            </w:rPr>
            <w:lastRenderedPageBreak/>
            <w:t xml:space="preserve">persons with disabilities and other marginalized or vulnerable groups in the community.  Service providers should be mandated to consult with, brief and respect the right to information and full participation of the committees in the planning, design, implementation and evaluation of county level projects. </w:t>
          </w:r>
        </w:p>
        <w:p w:rsidR="00A3665C" w:rsidRPr="00A3665C" w:rsidRDefault="00A3665C" w:rsidP="00A3665C">
          <w:pPr>
            <w:pStyle w:val="NoSpacing"/>
            <w:numPr>
              <w:ilvl w:val="0"/>
              <w:numId w:val="1"/>
            </w:numPr>
            <w:spacing w:line="360" w:lineRule="auto"/>
            <w:jc w:val="both"/>
            <w:rPr>
              <w:rFonts w:asciiTheme="majorHAnsi" w:hAnsiTheme="majorHAnsi"/>
              <w:sz w:val="24"/>
              <w:szCs w:val="24"/>
            </w:rPr>
          </w:pPr>
          <w:r w:rsidRPr="00A3665C">
            <w:rPr>
              <w:rFonts w:asciiTheme="majorHAnsi" w:hAnsiTheme="majorHAnsi"/>
              <w:sz w:val="24"/>
              <w:szCs w:val="24"/>
            </w:rPr>
            <w:t>Take adequate and accelerated steps to enhance Liberia’s drive towards meeting the 15% Abuja Declaration benchmark in financing health during the next three fiscal periods through, among others, increasing the current 8.4% by additional 2% of the total National Budget 2011/2012. This means additional USD 9.2m should be added to the current Ministry of Health and Social Welfare’s proposal. This USD 9.2m should be channeled to health promotion and preventive health services in counties which are currently allocated USD 900,000 in the 2012/2013 draft National Budget, with emphasis on strengthening community education and participation; addressing social determinants of health; immunization; maternal/child and reproductive health, prevention and treatment of common and endemic disease, and access to essential drugs.</w:t>
          </w:r>
        </w:p>
        <w:p w:rsidR="00A3665C" w:rsidRPr="008B3D28" w:rsidRDefault="00A3665C" w:rsidP="008B3D28">
          <w:pPr>
            <w:pStyle w:val="CommentText"/>
            <w:numPr>
              <w:ilvl w:val="0"/>
              <w:numId w:val="1"/>
            </w:numPr>
            <w:spacing w:line="360" w:lineRule="auto"/>
            <w:jc w:val="both"/>
            <w:rPr>
              <w:rFonts w:asciiTheme="majorHAnsi" w:hAnsiTheme="majorHAnsi" w:cs="Calibri"/>
              <w:sz w:val="24"/>
              <w:szCs w:val="24"/>
            </w:rPr>
          </w:pPr>
          <w:r w:rsidRPr="00A3665C">
            <w:rPr>
              <w:rFonts w:asciiTheme="majorHAnsi" w:hAnsiTheme="majorHAnsi"/>
              <w:color w:val="FF0000"/>
              <w:sz w:val="24"/>
              <w:szCs w:val="24"/>
            </w:rPr>
            <w:t xml:space="preserve"> </w:t>
          </w:r>
          <w:r w:rsidRPr="00A3665C">
            <w:rPr>
              <w:rFonts w:asciiTheme="majorHAnsi" w:hAnsiTheme="majorHAnsi" w:cs="Calibri"/>
              <w:sz w:val="24"/>
              <w:szCs w:val="24"/>
            </w:rPr>
            <w:t xml:space="preserve">We call on the legislature to reduce expenditure on the Public Administration Sector which currently is the highest appropriated for sector and to allot more for quality service delivery in the education, health, education, water and sanitation sectors, and other marginalized and vulnerable groups, as well as county’s development programs. Additionally, create a budget line for provision of adult literacy programs across the country in compliance with the  </w:t>
          </w:r>
          <w:r w:rsidRPr="00A3665C">
            <w:rPr>
              <w:rFonts w:asciiTheme="majorHAnsi" w:hAnsiTheme="majorHAnsi" w:cs="Calibri"/>
              <w:b/>
              <w:bCs/>
              <w:sz w:val="24"/>
              <w:szCs w:val="24"/>
            </w:rPr>
            <w:t>Dakar Framework for Action, Education for All, April 2000, goal 4 which calls for</w:t>
          </w:r>
          <w:r w:rsidRPr="00A3665C">
            <w:rPr>
              <w:rFonts w:asciiTheme="majorHAnsi" w:hAnsiTheme="majorHAnsi" w:cs="Calibri"/>
              <w:iCs/>
              <w:sz w:val="24"/>
              <w:szCs w:val="24"/>
            </w:rPr>
            <w:t xml:space="preserve"> the “Double  of adult literacy</w:t>
          </w:r>
          <w:r w:rsidRPr="00A3665C">
            <w:rPr>
              <w:rFonts w:asciiTheme="majorHAnsi" w:hAnsiTheme="majorHAnsi" w:cs="Calibri"/>
              <w:sz w:val="24"/>
              <w:szCs w:val="24"/>
            </w:rPr>
            <w:t>, especially for women, and achieve equitable access to basic and continuing education for adults by 2015”.</w:t>
          </w:r>
        </w:p>
        <w:p w:rsidR="00A3665C" w:rsidRPr="008B3D28" w:rsidRDefault="00A3665C" w:rsidP="008B3D28">
          <w:pPr>
            <w:pStyle w:val="CommentText"/>
            <w:numPr>
              <w:ilvl w:val="0"/>
              <w:numId w:val="1"/>
            </w:numPr>
            <w:spacing w:line="360" w:lineRule="auto"/>
            <w:jc w:val="both"/>
            <w:rPr>
              <w:rFonts w:asciiTheme="majorHAnsi" w:hAnsiTheme="majorHAnsi" w:cs="Calibri"/>
              <w:sz w:val="24"/>
              <w:szCs w:val="24"/>
            </w:rPr>
          </w:pPr>
          <w:r w:rsidRPr="00A3665C">
            <w:rPr>
              <w:rFonts w:asciiTheme="majorHAnsi" w:hAnsiTheme="majorHAnsi" w:cs="Calibri"/>
              <w:sz w:val="24"/>
              <w:szCs w:val="24"/>
            </w:rPr>
            <w:t>We realize that the current draft budget does not have direct budget line under the Ministry of Health or elsewhere for health promotion, including health education and awareness among the citizens across the country. Considering the critical role health promotion plays in health care delivery, we call on the Legislature to indicate in the budget under the Ministry of Health a budget line for health promotion and health education.</w:t>
          </w:r>
        </w:p>
        <w:p w:rsidR="00A3665C" w:rsidRPr="00397589" w:rsidRDefault="00A3665C" w:rsidP="00397589">
          <w:pPr>
            <w:numPr>
              <w:ilvl w:val="0"/>
              <w:numId w:val="1"/>
            </w:numPr>
            <w:autoSpaceDE w:val="0"/>
            <w:autoSpaceDN w:val="0"/>
            <w:adjustRightInd w:val="0"/>
            <w:spacing w:after="0" w:line="360" w:lineRule="auto"/>
            <w:jc w:val="both"/>
            <w:rPr>
              <w:rFonts w:asciiTheme="majorHAnsi" w:eastAsiaTheme="majorEastAsia" w:hAnsiTheme="majorHAnsi" w:cstheme="majorBidi"/>
              <w:sz w:val="36"/>
              <w:szCs w:val="36"/>
            </w:rPr>
          </w:pPr>
          <w:r w:rsidRPr="00397589">
            <w:rPr>
              <w:rFonts w:asciiTheme="majorHAnsi" w:hAnsiTheme="majorHAnsi" w:cs="Calibri"/>
              <w:sz w:val="24"/>
              <w:szCs w:val="24"/>
            </w:rPr>
            <w:lastRenderedPageBreak/>
            <w:t xml:space="preserve">As a means of redirecting the current development </w:t>
          </w:r>
          <w:r w:rsidRPr="00397589">
            <w:rPr>
              <w:rFonts w:asciiTheme="majorHAnsi" w:hAnsiTheme="majorHAnsi"/>
              <w:sz w:val="24"/>
              <w:szCs w:val="24"/>
            </w:rPr>
            <w:t>trajectory</w:t>
          </w:r>
          <w:r w:rsidRPr="00397589">
            <w:rPr>
              <w:rFonts w:asciiTheme="majorHAnsi" w:hAnsiTheme="majorHAnsi" w:cs="Calibri"/>
              <w:sz w:val="24"/>
              <w:szCs w:val="24"/>
            </w:rPr>
            <w:t xml:space="preserve"> where development and basic services are centralized in traditionally economically, socially, infrastructural well-off counties and geography locations, we  call on the Legislature to base their allocation to institutions and counties  applying a human rights-based approach to basic social services, ensuring state compliance with human rights standards and principles, including the four key elements of economic and social rights: availability, accessibility, acceptability and quality of services provided. In so doing, we call on the Legislature to make additional budgetary allocations to areas with most vulnerable and marginalized population, marked by the remoteness, inaccessibility to road, lack of basic social services, low economic activities and poverty standing high.  W</w:t>
          </w:r>
          <w:r w:rsidRPr="00397589">
            <w:rPr>
              <w:rFonts w:asciiTheme="majorHAnsi" w:hAnsiTheme="majorHAnsi"/>
              <w:sz w:val="24"/>
              <w:szCs w:val="24"/>
            </w:rPr>
            <w:t xml:space="preserve">e call your attention to the </w:t>
          </w:r>
          <w:r w:rsidRPr="00397589">
            <w:rPr>
              <w:rFonts w:asciiTheme="majorHAnsi" w:eastAsia="Calibri" w:hAnsiTheme="majorHAnsi"/>
              <w:sz w:val="24"/>
              <w:szCs w:val="24"/>
            </w:rPr>
            <w:t xml:space="preserve">realization of the human right to development and the need to prioritize vulnerable communities that have been historically marginalized and are in risk of continuing to be left out of poverty reduction strategies and local development policies and, plans and </w:t>
          </w:r>
          <w:r w:rsidRPr="00397589">
            <w:rPr>
              <w:rFonts w:asciiTheme="majorHAnsi" w:hAnsiTheme="majorHAnsi"/>
              <w:sz w:val="24"/>
              <w:szCs w:val="24"/>
            </w:rPr>
            <w:t>ensure that Liberia meets her minimum core obligations, towards an adequate standard of living and well-being for all and progressively the full realization of all economic, social and cultural rights</w:t>
          </w:r>
          <w:r w:rsidRPr="00397589">
            <w:rPr>
              <w:rFonts w:asciiTheme="majorHAnsi" w:eastAsia="Calibri" w:hAnsiTheme="majorHAnsi"/>
              <w:sz w:val="24"/>
              <w:szCs w:val="24"/>
            </w:rPr>
            <w:t xml:space="preserve"> </w:t>
          </w:r>
        </w:p>
        <w:p w:rsidR="00A3665C" w:rsidRDefault="00A3665C">
          <w:pPr>
            <w:pStyle w:val="NoSpacing"/>
            <w:rPr>
              <w:rFonts w:asciiTheme="majorHAnsi" w:eastAsiaTheme="majorEastAsia" w:hAnsiTheme="majorHAnsi" w:cstheme="majorBidi"/>
              <w:sz w:val="36"/>
              <w:szCs w:val="36"/>
            </w:rPr>
          </w:pPr>
        </w:p>
        <w:p w:rsidR="001D3624" w:rsidRDefault="001D3624">
          <w:pPr>
            <w:pStyle w:val="NoSpacing"/>
            <w:rPr>
              <w:rFonts w:asciiTheme="majorHAnsi" w:eastAsiaTheme="majorEastAsia" w:hAnsiTheme="majorHAnsi" w:cstheme="majorBidi"/>
              <w:sz w:val="36"/>
              <w:szCs w:val="36"/>
            </w:rPr>
          </w:pPr>
        </w:p>
        <w:p w:rsidR="001D3624" w:rsidRDefault="001D3624">
          <w:pPr>
            <w:pStyle w:val="NoSpacing"/>
          </w:pPr>
        </w:p>
        <w:p w:rsidR="001D3624" w:rsidRDefault="00BB39A1"/>
      </w:sdtContent>
    </w:sdt>
    <w:p w:rsidR="001D3624" w:rsidRDefault="001D3624" w:rsidP="00363D42">
      <w:pPr>
        <w:pStyle w:val="NoSpacing"/>
        <w:jc w:val="center"/>
      </w:pPr>
    </w:p>
    <w:p w:rsidR="001D3624" w:rsidRDefault="001D3624" w:rsidP="00363D42">
      <w:pPr>
        <w:pStyle w:val="NoSpacing"/>
        <w:jc w:val="center"/>
      </w:pPr>
    </w:p>
    <w:p w:rsidR="001D3624" w:rsidRDefault="001D3624" w:rsidP="00363D42">
      <w:pPr>
        <w:pStyle w:val="NoSpacing"/>
        <w:jc w:val="center"/>
      </w:pPr>
    </w:p>
    <w:p w:rsidR="001D3624" w:rsidRDefault="001D3624" w:rsidP="001D3624">
      <w:pPr>
        <w:pStyle w:val="NoSpacing"/>
      </w:pPr>
    </w:p>
    <w:sectPr w:rsidR="001D3624" w:rsidSect="001D36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9A1" w:rsidRDefault="00BB39A1" w:rsidP="005F6AE3">
      <w:pPr>
        <w:spacing w:after="0" w:line="240" w:lineRule="auto"/>
      </w:pPr>
      <w:r>
        <w:separator/>
      </w:r>
    </w:p>
  </w:endnote>
  <w:endnote w:type="continuationSeparator" w:id="0">
    <w:p w:rsidR="00BB39A1" w:rsidRDefault="00BB39A1" w:rsidP="005F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9A1" w:rsidRDefault="00BB39A1" w:rsidP="005F6AE3">
      <w:pPr>
        <w:spacing w:after="0" w:line="240" w:lineRule="auto"/>
      </w:pPr>
      <w:r>
        <w:separator/>
      </w:r>
    </w:p>
  </w:footnote>
  <w:footnote w:type="continuationSeparator" w:id="0">
    <w:p w:rsidR="00BB39A1" w:rsidRDefault="00BB39A1" w:rsidP="005F6AE3">
      <w:pPr>
        <w:spacing w:after="0" w:line="240" w:lineRule="auto"/>
      </w:pPr>
      <w:r>
        <w:continuationSeparator/>
      </w:r>
    </w:p>
  </w:footnote>
  <w:footnote w:id="1">
    <w:p w:rsidR="002E48F7" w:rsidRPr="00793EED" w:rsidRDefault="002E48F7" w:rsidP="00F978EA">
      <w:pPr>
        <w:pStyle w:val="FootnoteText"/>
      </w:pPr>
      <w:r w:rsidRPr="00793EED">
        <w:rPr>
          <w:rStyle w:val="FootnoteReference"/>
        </w:rPr>
        <w:footnoteRef/>
      </w:r>
      <w:r w:rsidRPr="00793EED">
        <w:t xml:space="preserve"> </w:t>
      </w:r>
      <w:r>
        <w:t>Ratified by the Government of Liberia o</w:t>
      </w:r>
      <w:r w:rsidRPr="00793EED">
        <w:t>n 22 September 2004.</w:t>
      </w:r>
    </w:p>
  </w:footnote>
  <w:footnote w:id="2">
    <w:p w:rsidR="002E48F7" w:rsidRPr="00793EED" w:rsidRDefault="002E48F7" w:rsidP="00F978EA">
      <w:pPr>
        <w:pStyle w:val="Default"/>
        <w:rPr>
          <w:rFonts w:ascii="Calibri" w:hAnsi="Calibri" w:cs="Times New Roman"/>
          <w:color w:val="auto"/>
          <w:sz w:val="18"/>
          <w:szCs w:val="18"/>
        </w:rPr>
      </w:pPr>
      <w:r w:rsidRPr="00793EED">
        <w:rPr>
          <w:rStyle w:val="FootnoteReference"/>
          <w:color w:val="auto"/>
        </w:rPr>
        <w:footnoteRef/>
      </w:r>
      <w:r w:rsidRPr="00793EED">
        <w:rPr>
          <w:color w:val="auto"/>
        </w:rPr>
        <w:t xml:space="preserve"> </w:t>
      </w:r>
      <w:r w:rsidRPr="00793EED">
        <w:rPr>
          <w:rFonts w:ascii="Calibri" w:hAnsi="Calibri" w:cs="Times New Roman"/>
          <w:color w:val="auto"/>
          <w:sz w:val="18"/>
          <w:szCs w:val="18"/>
        </w:rPr>
        <w:t>CESCR General Comment Number 3: The Nature of State’s Obligations,  HRI/GEN/1/Rev.9</w:t>
      </w:r>
    </w:p>
  </w:footnote>
  <w:footnote w:id="3">
    <w:p w:rsidR="002E48F7" w:rsidRPr="00793EED" w:rsidRDefault="002E48F7" w:rsidP="00F978EA">
      <w:pPr>
        <w:pStyle w:val="FootnoteText"/>
      </w:pPr>
      <w:r w:rsidRPr="00793EED">
        <w:rPr>
          <w:rStyle w:val="FootnoteReference"/>
        </w:rPr>
        <w:footnoteRef/>
      </w:r>
      <w:r w:rsidRPr="00793EED">
        <w:t xml:space="preserve"> See Limburg Principles on the Implementation of the International Covenant on Economic, Social and Cultural Rights, paragraphs 21 to 28. </w:t>
      </w:r>
    </w:p>
  </w:footnote>
  <w:footnote w:id="4">
    <w:p w:rsidR="002E48F7" w:rsidRDefault="002E48F7" w:rsidP="00B506DF">
      <w:pPr>
        <w:pStyle w:val="FootnoteText"/>
      </w:pPr>
      <w:r>
        <w:rPr>
          <w:rStyle w:val="FootnoteReference"/>
        </w:rPr>
        <w:footnoteRef/>
      </w:r>
      <w:r>
        <w:t xml:space="preserve"> Liberia total population is approximately 3.5 million (2008 National Population and Housing Census).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1B7AA8"/>
    <w:multiLevelType w:val="hybridMultilevel"/>
    <w:tmpl w:val="993AE168"/>
    <w:lvl w:ilvl="0" w:tplc="D8F0212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D42"/>
    <w:rsid w:val="00003AFA"/>
    <w:rsid w:val="00006AEF"/>
    <w:rsid w:val="000114BF"/>
    <w:rsid w:val="00015646"/>
    <w:rsid w:val="00022197"/>
    <w:rsid w:val="0002273A"/>
    <w:rsid w:val="00024F07"/>
    <w:rsid w:val="00042EAF"/>
    <w:rsid w:val="0005342E"/>
    <w:rsid w:val="00053F83"/>
    <w:rsid w:val="00054E73"/>
    <w:rsid w:val="00055A3A"/>
    <w:rsid w:val="00057897"/>
    <w:rsid w:val="00070B36"/>
    <w:rsid w:val="00071822"/>
    <w:rsid w:val="00073FB7"/>
    <w:rsid w:val="00085D37"/>
    <w:rsid w:val="000A2E94"/>
    <w:rsid w:val="000B6742"/>
    <w:rsid w:val="000D1402"/>
    <w:rsid w:val="000F6030"/>
    <w:rsid w:val="00110D9D"/>
    <w:rsid w:val="00130A80"/>
    <w:rsid w:val="001313CF"/>
    <w:rsid w:val="00146C3E"/>
    <w:rsid w:val="00154B74"/>
    <w:rsid w:val="0016754F"/>
    <w:rsid w:val="0017328C"/>
    <w:rsid w:val="001743D2"/>
    <w:rsid w:val="00180A49"/>
    <w:rsid w:val="001876EA"/>
    <w:rsid w:val="00193A87"/>
    <w:rsid w:val="00193AF6"/>
    <w:rsid w:val="001A587A"/>
    <w:rsid w:val="001B1C2A"/>
    <w:rsid w:val="001C0BA2"/>
    <w:rsid w:val="001D3624"/>
    <w:rsid w:val="001D4BF1"/>
    <w:rsid w:val="001E1E3D"/>
    <w:rsid w:val="001E2262"/>
    <w:rsid w:val="001F2B2F"/>
    <w:rsid w:val="001F5B37"/>
    <w:rsid w:val="001F6285"/>
    <w:rsid w:val="00211A97"/>
    <w:rsid w:val="00212EE2"/>
    <w:rsid w:val="002130A9"/>
    <w:rsid w:val="002212FB"/>
    <w:rsid w:val="00230627"/>
    <w:rsid w:val="00233A59"/>
    <w:rsid w:val="002360FF"/>
    <w:rsid w:val="00250408"/>
    <w:rsid w:val="00251BA2"/>
    <w:rsid w:val="00252E18"/>
    <w:rsid w:val="002610EB"/>
    <w:rsid w:val="00266C52"/>
    <w:rsid w:val="0028405D"/>
    <w:rsid w:val="00287482"/>
    <w:rsid w:val="00290D6C"/>
    <w:rsid w:val="002A1D15"/>
    <w:rsid w:val="002B3F0A"/>
    <w:rsid w:val="002C2263"/>
    <w:rsid w:val="002D7AA9"/>
    <w:rsid w:val="002E48F7"/>
    <w:rsid w:val="002E675B"/>
    <w:rsid w:val="0033753A"/>
    <w:rsid w:val="00351C8E"/>
    <w:rsid w:val="00363D42"/>
    <w:rsid w:val="00384E34"/>
    <w:rsid w:val="00392ED7"/>
    <w:rsid w:val="00397589"/>
    <w:rsid w:val="003C2CB6"/>
    <w:rsid w:val="003C35F8"/>
    <w:rsid w:val="003D5C54"/>
    <w:rsid w:val="003F1D95"/>
    <w:rsid w:val="003F5F72"/>
    <w:rsid w:val="0040295D"/>
    <w:rsid w:val="00405D0F"/>
    <w:rsid w:val="00407094"/>
    <w:rsid w:val="00414CFC"/>
    <w:rsid w:val="004467BA"/>
    <w:rsid w:val="00460491"/>
    <w:rsid w:val="00460B28"/>
    <w:rsid w:val="00460CF9"/>
    <w:rsid w:val="0048039B"/>
    <w:rsid w:val="004903B4"/>
    <w:rsid w:val="004A4DB1"/>
    <w:rsid w:val="004A5A12"/>
    <w:rsid w:val="004B2D02"/>
    <w:rsid w:val="004C4C66"/>
    <w:rsid w:val="004E2477"/>
    <w:rsid w:val="004E61E8"/>
    <w:rsid w:val="0050710C"/>
    <w:rsid w:val="00511429"/>
    <w:rsid w:val="005300DD"/>
    <w:rsid w:val="00536F98"/>
    <w:rsid w:val="005467C4"/>
    <w:rsid w:val="0055451E"/>
    <w:rsid w:val="005552F0"/>
    <w:rsid w:val="005722DF"/>
    <w:rsid w:val="00592021"/>
    <w:rsid w:val="005A26CA"/>
    <w:rsid w:val="005D155B"/>
    <w:rsid w:val="005D52DC"/>
    <w:rsid w:val="005E05B5"/>
    <w:rsid w:val="005E4D09"/>
    <w:rsid w:val="005F01A9"/>
    <w:rsid w:val="005F6349"/>
    <w:rsid w:val="005F654F"/>
    <w:rsid w:val="005F6AE3"/>
    <w:rsid w:val="0060176F"/>
    <w:rsid w:val="00611BF8"/>
    <w:rsid w:val="006133EA"/>
    <w:rsid w:val="00614D2D"/>
    <w:rsid w:val="00620555"/>
    <w:rsid w:val="0062758F"/>
    <w:rsid w:val="006468E9"/>
    <w:rsid w:val="0065063A"/>
    <w:rsid w:val="00686A93"/>
    <w:rsid w:val="0069071A"/>
    <w:rsid w:val="006923E5"/>
    <w:rsid w:val="00694F80"/>
    <w:rsid w:val="00696259"/>
    <w:rsid w:val="006A375D"/>
    <w:rsid w:val="006A6B56"/>
    <w:rsid w:val="006B31D0"/>
    <w:rsid w:val="006B3902"/>
    <w:rsid w:val="006C0397"/>
    <w:rsid w:val="006E7B01"/>
    <w:rsid w:val="006F00EA"/>
    <w:rsid w:val="00706FBC"/>
    <w:rsid w:val="00717534"/>
    <w:rsid w:val="007223D9"/>
    <w:rsid w:val="00745744"/>
    <w:rsid w:val="00753F1A"/>
    <w:rsid w:val="007561F5"/>
    <w:rsid w:val="00756F23"/>
    <w:rsid w:val="00771033"/>
    <w:rsid w:val="007863B2"/>
    <w:rsid w:val="007A690C"/>
    <w:rsid w:val="007B771C"/>
    <w:rsid w:val="007C0E1F"/>
    <w:rsid w:val="007D3173"/>
    <w:rsid w:val="007E12FC"/>
    <w:rsid w:val="007F09AE"/>
    <w:rsid w:val="00803933"/>
    <w:rsid w:val="008111DD"/>
    <w:rsid w:val="00813C14"/>
    <w:rsid w:val="00820515"/>
    <w:rsid w:val="00831BC4"/>
    <w:rsid w:val="008378CA"/>
    <w:rsid w:val="00840F5C"/>
    <w:rsid w:val="00861495"/>
    <w:rsid w:val="008615CC"/>
    <w:rsid w:val="0089090D"/>
    <w:rsid w:val="008960FD"/>
    <w:rsid w:val="008A72F1"/>
    <w:rsid w:val="008B3D28"/>
    <w:rsid w:val="008C1135"/>
    <w:rsid w:val="008C19C0"/>
    <w:rsid w:val="008C5FDB"/>
    <w:rsid w:val="008D57B0"/>
    <w:rsid w:val="008E182B"/>
    <w:rsid w:val="008F748E"/>
    <w:rsid w:val="0092402F"/>
    <w:rsid w:val="0095084B"/>
    <w:rsid w:val="00954C9A"/>
    <w:rsid w:val="009600C1"/>
    <w:rsid w:val="0096578E"/>
    <w:rsid w:val="00967261"/>
    <w:rsid w:val="00971FE7"/>
    <w:rsid w:val="00972030"/>
    <w:rsid w:val="00972F67"/>
    <w:rsid w:val="0097458C"/>
    <w:rsid w:val="00987F24"/>
    <w:rsid w:val="009948C4"/>
    <w:rsid w:val="009A001F"/>
    <w:rsid w:val="009A40F6"/>
    <w:rsid w:val="009A52F4"/>
    <w:rsid w:val="009C0AE7"/>
    <w:rsid w:val="009E44D9"/>
    <w:rsid w:val="009F26B1"/>
    <w:rsid w:val="00A04418"/>
    <w:rsid w:val="00A050C3"/>
    <w:rsid w:val="00A23DF7"/>
    <w:rsid w:val="00A24FD0"/>
    <w:rsid w:val="00A3665C"/>
    <w:rsid w:val="00A40024"/>
    <w:rsid w:val="00A509CB"/>
    <w:rsid w:val="00A72147"/>
    <w:rsid w:val="00A73D51"/>
    <w:rsid w:val="00A930A6"/>
    <w:rsid w:val="00AB0B4B"/>
    <w:rsid w:val="00AB33A0"/>
    <w:rsid w:val="00AD06D3"/>
    <w:rsid w:val="00AE5F5E"/>
    <w:rsid w:val="00AF4EC5"/>
    <w:rsid w:val="00AF7858"/>
    <w:rsid w:val="00B24CB3"/>
    <w:rsid w:val="00B34197"/>
    <w:rsid w:val="00B506DF"/>
    <w:rsid w:val="00B51A9A"/>
    <w:rsid w:val="00B826CA"/>
    <w:rsid w:val="00B851C4"/>
    <w:rsid w:val="00BB39A1"/>
    <w:rsid w:val="00BB5BA2"/>
    <w:rsid w:val="00BE301F"/>
    <w:rsid w:val="00C04948"/>
    <w:rsid w:val="00C24FCB"/>
    <w:rsid w:val="00C30007"/>
    <w:rsid w:val="00C301D6"/>
    <w:rsid w:val="00C52CE1"/>
    <w:rsid w:val="00C56E2D"/>
    <w:rsid w:val="00C57646"/>
    <w:rsid w:val="00C64451"/>
    <w:rsid w:val="00C64EAB"/>
    <w:rsid w:val="00C700DD"/>
    <w:rsid w:val="00C753C1"/>
    <w:rsid w:val="00C82604"/>
    <w:rsid w:val="00C857E8"/>
    <w:rsid w:val="00C923B1"/>
    <w:rsid w:val="00C92E36"/>
    <w:rsid w:val="00C94350"/>
    <w:rsid w:val="00CA6CFB"/>
    <w:rsid w:val="00CD04A0"/>
    <w:rsid w:val="00CD4456"/>
    <w:rsid w:val="00CE010C"/>
    <w:rsid w:val="00CF12FB"/>
    <w:rsid w:val="00D02265"/>
    <w:rsid w:val="00D12DC5"/>
    <w:rsid w:val="00D26026"/>
    <w:rsid w:val="00D43ADA"/>
    <w:rsid w:val="00D84CF3"/>
    <w:rsid w:val="00DC79B7"/>
    <w:rsid w:val="00DE5CDE"/>
    <w:rsid w:val="00DE6C0B"/>
    <w:rsid w:val="00E20B9F"/>
    <w:rsid w:val="00E2517E"/>
    <w:rsid w:val="00E25A54"/>
    <w:rsid w:val="00E643ED"/>
    <w:rsid w:val="00E67184"/>
    <w:rsid w:val="00E726A2"/>
    <w:rsid w:val="00E73E72"/>
    <w:rsid w:val="00E85CA9"/>
    <w:rsid w:val="00E903DC"/>
    <w:rsid w:val="00E945F3"/>
    <w:rsid w:val="00E94CAC"/>
    <w:rsid w:val="00ED295A"/>
    <w:rsid w:val="00EE2261"/>
    <w:rsid w:val="00EF79DD"/>
    <w:rsid w:val="00EF7D71"/>
    <w:rsid w:val="00F0012C"/>
    <w:rsid w:val="00F03B24"/>
    <w:rsid w:val="00F1267D"/>
    <w:rsid w:val="00F13E72"/>
    <w:rsid w:val="00F22BEA"/>
    <w:rsid w:val="00F2708C"/>
    <w:rsid w:val="00F326F4"/>
    <w:rsid w:val="00F4220B"/>
    <w:rsid w:val="00F4641C"/>
    <w:rsid w:val="00F475C3"/>
    <w:rsid w:val="00F5389F"/>
    <w:rsid w:val="00F57D51"/>
    <w:rsid w:val="00F71E3E"/>
    <w:rsid w:val="00F978EA"/>
    <w:rsid w:val="00FA0A85"/>
    <w:rsid w:val="00FA3D6D"/>
    <w:rsid w:val="00FB39FB"/>
    <w:rsid w:val="00FB7F7F"/>
    <w:rsid w:val="00FD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1BDC97-5487-409C-B67C-255EBC19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1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63D42"/>
    <w:pPr>
      <w:spacing w:after="0" w:line="240" w:lineRule="auto"/>
    </w:pPr>
  </w:style>
  <w:style w:type="character" w:customStyle="1" w:styleId="NoSpacingChar">
    <w:name w:val="No Spacing Char"/>
    <w:basedOn w:val="DefaultParagraphFont"/>
    <w:link w:val="NoSpacing"/>
    <w:uiPriority w:val="1"/>
    <w:rsid w:val="001D3624"/>
  </w:style>
  <w:style w:type="paragraph" w:styleId="BalloonText">
    <w:name w:val="Balloon Text"/>
    <w:basedOn w:val="Normal"/>
    <w:link w:val="BalloonTextChar"/>
    <w:uiPriority w:val="99"/>
    <w:semiHidden/>
    <w:unhideWhenUsed/>
    <w:rsid w:val="001D3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624"/>
    <w:rPr>
      <w:rFonts w:ascii="Tahoma" w:hAnsi="Tahoma" w:cs="Tahoma"/>
      <w:sz w:val="16"/>
      <w:szCs w:val="16"/>
    </w:rPr>
  </w:style>
  <w:style w:type="paragraph" w:styleId="FootnoteText">
    <w:name w:val="footnote text"/>
    <w:basedOn w:val="Normal"/>
    <w:link w:val="FootnoteTextChar"/>
    <w:uiPriority w:val="99"/>
    <w:semiHidden/>
    <w:unhideWhenUsed/>
    <w:rsid w:val="005F6AE3"/>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5F6AE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F6AE3"/>
    <w:rPr>
      <w:vertAlign w:val="superscript"/>
    </w:rPr>
  </w:style>
  <w:style w:type="paragraph" w:customStyle="1" w:styleId="Default">
    <w:name w:val="Default"/>
    <w:rsid w:val="005F6AE3"/>
    <w:pPr>
      <w:autoSpaceDE w:val="0"/>
      <w:autoSpaceDN w:val="0"/>
      <w:adjustRightInd w:val="0"/>
      <w:spacing w:after="0" w:line="240" w:lineRule="auto"/>
    </w:pPr>
    <w:rPr>
      <w:rFonts w:ascii="Myriad Pro" w:eastAsia="Calibri" w:hAnsi="Myriad Pro" w:cs="Myriad Pro"/>
      <w:color w:val="000000"/>
      <w:sz w:val="24"/>
      <w:szCs w:val="24"/>
    </w:rPr>
  </w:style>
  <w:style w:type="paragraph" w:styleId="ListParagraph">
    <w:name w:val="List Paragraph"/>
    <w:basedOn w:val="Normal"/>
    <w:uiPriority w:val="34"/>
    <w:qFormat/>
    <w:rsid w:val="00A3665C"/>
    <w:pPr>
      <w:spacing w:after="0" w:line="240" w:lineRule="auto"/>
      <w:ind w:left="720"/>
      <w:contextualSpacing/>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A3665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3665C"/>
    <w:rPr>
      <w:rFonts w:ascii="Times New Roman" w:eastAsia="Times New Roman" w:hAnsi="Times New Roman" w:cs="Times New Roman"/>
      <w:sz w:val="20"/>
      <w:szCs w:val="20"/>
    </w:rPr>
  </w:style>
  <w:style w:type="table" w:styleId="TableGrid">
    <w:name w:val="Table Grid"/>
    <w:basedOn w:val="TableNormal"/>
    <w:uiPriority w:val="59"/>
    <w:rsid w:val="007A6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Sheet1!$A$3</c:f>
              <c:strCache>
                <c:ptCount val="1"/>
                <c:pt idx="0">
                  <c:v>Social Welfare</c:v>
                </c:pt>
              </c:strCache>
            </c:strRef>
          </c:tx>
          <c:invertIfNegative val="0"/>
          <c:dLbls>
            <c:dLbl>
              <c:idx val="1"/>
              <c:layout>
                <c:manualLayout>
                  <c:x val="0"/>
                  <c:y val="3.236297084937260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6824819974426362E-7"/>
                  <c:y val="2.5890376679498096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1.831939724855634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solidFill>
                      <a:srgbClr val="FF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Sheet1!$B$1:$F$2</c:f>
              <c:strCache>
                <c:ptCount val="5"/>
                <c:pt idx="1">
                  <c:v>2009/10</c:v>
                </c:pt>
                <c:pt idx="2">
                  <c:v>2010/11</c:v>
                </c:pt>
                <c:pt idx="3">
                  <c:v>2011/12</c:v>
                </c:pt>
                <c:pt idx="4">
                  <c:v>2012/13</c:v>
                </c:pt>
              </c:strCache>
            </c:strRef>
          </c:cat>
          <c:val>
            <c:numRef>
              <c:f>Sheet1!$B$3:$F$3</c:f>
              <c:numCache>
                <c:formatCode>#,##0</c:formatCode>
                <c:ptCount val="5"/>
                <c:pt idx="1">
                  <c:v>703717</c:v>
                </c:pt>
                <c:pt idx="2">
                  <c:v>682901</c:v>
                </c:pt>
                <c:pt idx="3">
                  <c:v>948690</c:v>
                </c:pt>
                <c:pt idx="4">
                  <c:v>936819</c:v>
                </c:pt>
              </c:numCache>
            </c:numRef>
          </c:val>
        </c:ser>
        <c:ser>
          <c:idx val="1"/>
          <c:order val="1"/>
          <c:tx>
            <c:strRef>
              <c:f>Sheet1!$A$4</c:f>
              <c:strCache>
                <c:ptCount val="1"/>
                <c:pt idx="0">
                  <c:v>Preventive Services </c:v>
                </c:pt>
              </c:strCache>
            </c:strRef>
          </c:tx>
          <c:invertIfNegative val="0"/>
          <c:dLbls>
            <c:spPr>
              <a:noFill/>
              <a:ln>
                <a:noFill/>
              </a:ln>
              <a:effectLst/>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Sheet1!$B$1:$F$2</c:f>
              <c:strCache>
                <c:ptCount val="5"/>
                <c:pt idx="1">
                  <c:v>2009/10</c:v>
                </c:pt>
                <c:pt idx="2">
                  <c:v>2010/11</c:v>
                </c:pt>
                <c:pt idx="3">
                  <c:v>2011/12</c:v>
                </c:pt>
                <c:pt idx="4">
                  <c:v>2012/13</c:v>
                </c:pt>
              </c:strCache>
            </c:strRef>
          </c:cat>
          <c:val>
            <c:numRef>
              <c:f>Sheet1!$B$4:$F$4</c:f>
              <c:numCache>
                <c:formatCode>#,##0</c:formatCode>
                <c:ptCount val="5"/>
                <c:pt idx="1">
                  <c:v>759549</c:v>
                </c:pt>
                <c:pt idx="2">
                  <c:v>2316761</c:v>
                </c:pt>
                <c:pt idx="3">
                  <c:v>3192376</c:v>
                </c:pt>
                <c:pt idx="4">
                  <c:v>16508463</c:v>
                </c:pt>
              </c:numCache>
            </c:numRef>
          </c:val>
        </c:ser>
        <c:ser>
          <c:idx val="2"/>
          <c:order val="2"/>
          <c:tx>
            <c:strRef>
              <c:f>Sheet1!$A$5</c:f>
              <c:strCache>
                <c:ptCount val="1"/>
                <c:pt idx="0">
                  <c:v>Curative Services </c:v>
                </c:pt>
              </c:strCache>
            </c:strRef>
          </c:tx>
          <c:invertIfNegative val="0"/>
          <c:dLbls>
            <c:spPr>
              <a:noFill/>
              <a:ln>
                <a:noFill/>
              </a:ln>
              <a:effectLst/>
            </c:spPr>
            <c:txPr>
              <a:bodyPr/>
              <a:lstStyle/>
              <a:p>
                <a:pPr>
                  <a:defRPr sz="1200" b="1">
                    <a:solidFill>
                      <a:srgbClr val="FF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Sheet1!$B$1:$F$2</c:f>
              <c:strCache>
                <c:ptCount val="5"/>
                <c:pt idx="1">
                  <c:v>2009/10</c:v>
                </c:pt>
                <c:pt idx="2">
                  <c:v>2010/11</c:v>
                </c:pt>
                <c:pt idx="3">
                  <c:v>2011/12</c:v>
                </c:pt>
                <c:pt idx="4">
                  <c:v>2012/13</c:v>
                </c:pt>
              </c:strCache>
            </c:strRef>
          </c:cat>
          <c:val>
            <c:numRef>
              <c:f>Sheet1!$B$5:$F$5</c:f>
              <c:numCache>
                <c:formatCode>#,##0</c:formatCode>
                <c:ptCount val="5"/>
                <c:pt idx="1">
                  <c:v>10501342</c:v>
                </c:pt>
                <c:pt idx="2">
                  <c:v>20717956</c:v>
                </c:pt>
                <c:pt idx="3">
                  <c:v>29088743</c:v>
                </c:pt>
                <c:pt idx="4">
                  <c:v>31846818</c:v>
                </c:pt>
              </c:numCache>
            </c:numRef>
          </c:val>
        </c:ser>
        <c:dLbls>
          <c:showLegendKey val="0"/>
          <c:showVal val="0"/>
          <c:showCatName val="0"/>
          <c:showSerName val="0"/>
          <c:showPercent val="0"/>
          <c:showBubbleSize val="0"/>
        </c:dLbls>
        <c:gapWidth val="150"/>
        <c:shape val="box"/>
        <c:axId val="289553904"/>
        <c:axId val="289553120"/>
        <c:axId val="0"/>
      </c:bar3DChart>
      <c:catAx>
        <c:axId val="289553904"/>
        <c:scaling>
          <c:orientation val="minMax"/>
        </c:scaling>
        <c:delete val="0"/>
        <c:axPos val="l"/>
        <c:numFmt formatCode="General" sourceLinked="0"/>
        <c:majorTickMark val="out"/>
        <c:minorTickMark val="none"/>
        <c:tickLblPos val="nextTo"/>
        <c:txPr>
          <a:bodyPr/>
          <a:lstStyle/>
          <a:p>
            <a:pPr>
              <a:defRPr sz="1200"/>
            </a:pPr>
            <a:endParaRPr lang="en-US"/>
          </a:p>
        </c:txPr>
        <c:crossAx val="289553120"/>
        <c:crosses val="autoZero"/>
        <c:auto val="1"/>
        <c:lblAlgn val="ctr"/>
        <c:lblOffset val="100"/>
        <c:noMultiLvlLbl val="0"/>
      </c:catAx>
      <c:valAx>
        <c:axId val="289553120"/>
        <c:scaling>
          <c:orientation val="minMax"/>
        </c:scaling>
        <c:delete val="0"/>
        <c:axPos val="b"/>
        <c:majorGridlines/>
        <c:numFmt formatCode="#,##0" sourceLinked="1"/>
        <c:majorTickMark val="out"/>
        <c:minorTickMark val="none"/>
        <c:tickLblPos val="nextTo"/>
        <c:crossAx val="289553904"/>
        <c:crosses val="autoZero"/>
        <c:crossBetween val="between"/>
      </c:valAx>
    </c:plotArea>
    <c:legend>
      <c:legendPos val="r"/>
      <c:overlay val="0"/>
      <c:txPr>
        <a:bodyPr/>
        <a:lstStyle/>
        <a:p>
          <a:pPr>
            <a:defRPr sz="12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Sheet1!$A$1:$A$5</c:f>
              <c:strCache>
                <c:ptCount val="5"/>
                <c:pt idx="0">
                  <c:v>Primary Education </c:v>
                </c:pt>
                <c:pt idx="1">
                  <c:v>Technical Education</c:v>
                </c:pt>
                <c:pt idx="2">
                  <c:v>College &amp; University Education </c:v>
                </c:pt>
                <c:pt idx="3">
                  <c:v>Teacher Training and Education </c:v>
                </c:pt>
                <c:pt idx="4">
                  <c:v>Adult Literacy </c:v>
                </c:pt>
              </c:strCache>
            </c:strRef>
          </c:cat>
          <c:val>
            <c:numRef>
              <c:f>Sheet1!$B$1:$B$5</c:f>
              <c:numCache>
                <c:formatCode>General</c:formatCode>
                <c:ptCount val="5"/>
              </c:numCache>
            </c:numRef>
          </c:val>
        </c:ser>
        <c:ser>
          <c:idx val="1"/>
          <c:order val="1"/>
          <c:invertIfNegative val="0"/>
          <c:cat>
            <c:strRef>
              <c:f>Sheet1!$A$1:$A$5</c:f>
              <c:strCache>
                <c:ptCount val="5"/>
                <c:pt idx="0">
                  <c:v>Primary Education </c:v>
                </c:pt>
                <c:pt idx="1">
                  <c:v>Technical Education</c:v>
                </c:pt>
                <c:pt idx="2">
                  <c:v>College &amp; University Education </c:v>
                </c:pt>
                <c:pt idx="3">
                  <c:v>Teacher Training and Education </c:v>
                </c:pt>
                <c:pt idx="4">
                  <c:v>Adult Literacy </c:v>
                </c:pt>
              </c:strCache>
            </c:strRef>
          </c:cat>
          <c:val>
            <c:numRef>
              <c:f>Sheet1!$C$1:$C$5</c:f>
              <c:numCache>
                <c:formatCode>General</c:formatCode>
                <c:ptCount val="5"/>
              </c:numCache>
            </c:numRef>
          </c:val>
        </c:ser>
        <c:ser>
          <c:idx val="2"/>
          <c:order val="2"/>
          <c:invertIfNegative val="0"/>
          <c:cat>
            <c:strRef>
              <c:f>Sheet1!$A$1:$A$5</c:f>
              <c:strCache>
                <c:ptCount val="5"/>
                <c:pt idx="0">
                  <c:v>Primary Education </c:v>
                </c:pt>
                <c:pt idx="1">
                  <c:v>Technical Education</c:v>
                </c:pt>
                <c:pt idx="2">
                  <c:v>College &amp; University Education </c:v>
                </c:pt>
                <c:pt idx="3">
                  <c:v>Teacher Training and Education </c:v>
                </c:pt>
                <c:pt idx="4">
                  <c:v>Adult Literacy </c:v>
                </c:pt>
              </c:strCache>
            </c:strRef>
          </c:cat>
          <c:val>
            <c:numRef>
              <c:f>Sheet1!$D$1:$D$5</c:f>
              <c:numCache>
                <c:formatCode>General</c:formatCode>
                <c:ptCount val="5"/>
              </c:numCache>
            </c:numRef>
          </c:val>
        </c:ser>
        <c:ser>
          <c:idx val="3"/>
          <c:order val="3"/>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Sheet1!$A$1:$A$5</c:f>
              <c:strCache>
                <c:ptCount val="5"/>
                <c:pt idx="0">
                  <c:v>Primary Education </c:v>
                </c:pt>
                <c:pt idx="1">
                  <c:v>Technical Education</c:v>
                </c:pt>
                <c:pt idx="2">
                  <c:v>College &amp; University Education </c:v>
                </c:pt>
                <c:pt idx="3">
                  <c:v>Teacher Training and Education </c:v>
                </c:pt>
                <c:pt idx="4">
                  <c:v>Adult Literacy </c:v>
                </c:pt>
              </c:strCache>
            </c:strRef>
          </c:cat>
          <c:val>
            <c:numRef>
              <c:f>Sheet1!$E$1:$E$5</c:f>
              <c:numCache>
                <c:formatCode>#,##0</c:formatCode>
                <c:ptCount val="5"/>
                <c:pt idx="0">
                  <c:v>13330673</c:v>
                </c:pt>
                <c:pt idx="1">
                  <c:v>4469721</c:v>
                </c:pt>
                <c:pt idx="2">
                  <c:v>20181684</c:v>
                </c:pt>
                <c:pt idx="3">
                  <c:v>516258</c:v>
                </c:pt>
                <c:pt idx="4">
                  <c:v>10000</c:v>
                </c:pt>
              </c:numCache>
            </c:numRef>
          </c:val>
        </c:ser>
        <c:dLbls>
          <c:showLegendKey val="0"/>
          <c:showVal val="0"/>
          <c:showCatName val="0"/>
          <c:showSerName val="0"/>
          <c:showPercent val="0"/>
          <c:showBubbleSize val="0"/>
        </c:dLbls>
        <c:gapWidth val="0"/>
        <c:gapDepth val="0"/>
        <c:shape val="cylinder"/>
        <c:axId val="289559392"/>
        <c:axId val="289551944"/>
        <c:axId val="0"/>
      </c:bar3DChart>
      <c:catAx>
        <c:axId val="289559392"/>
        <c:scaling>
          <c:orientation val="minMax"/>
        </c:scaling>
        <c:delete val="0"/>
        <c:axPos val="b"/>
        <c:numFmt formatCode="General" sourceLinked="0"/>
        <c:majorTickMark val="none"/>
        <c:minorTickMark val="none"/>
        <c:tickLblPos val="nextTo"/>
        <c:crossAx val="289551944"/>
        <c:crosses val="autoZero"/>
        <c:auto val="1"/>
        <c:lblAlgn val="ctr"/>
        <c:lblOffset val="100"/>
        <c:noMultiLvlLbl val="0"/>
      </c:catAx>
      <c:valAx>
        <c:axId val="289551944"/>
        <c:scaling>
          <c:orientation val="minMax"/>
        </c:scaling>
        <c:delete val="0"/>
        <c:axPos val="l"/>
        <c:numFmt formatCode="General" sourceLinked="1"/>
        <c:majorTickMark val="out"/>
        <c:minorTickMark val="none"/>
        <c:tickLblPos val="nextTo"/>
        <c:crossAx val="28955939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2012-07-09T00:00:00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5689</Words>
  <Characters>32429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Fiscal Policy Analysis Spotlight on 2012/2013 National Budget Government of Liberia</vt:lpstr>
    </vt:vector>
  </TitlesOfParts>
  <Company>A</Company>
  <LinksUpToDate>false</LinksUpToDate>
  <CharactersWithSpaces>38042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Policy Analysis Spotlight on 2012/2013 National Budget Government of Liberia</dc:title>
  <dc:subject>Using Various Human Rights Based Approaches Analysis Tools</dc:subject>
  <dc:creator>prince</dc:creator>
  <cp:lastModifiedBy>P</cp:lastModifiedBy>
  <cp:revision>2</cp:revision>
  <dcterms:created xsi:type="dcterms:W3CDTF">2024-08-01T18:05:00Z</dcterms:created>
  <dcterms:modified xsi:type="dcterms:W3CDTF">2024-08-01T18:05:00Z</dcterms:modified>
</cp:coreProperties>
</file>